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2C22" w:rsidP="00572C22" w:rsidRDefault="00572C22" w14:paraId="424F9FA0" w14:textId="6747DD4B">
      <w:pPr>
        <w:pStyle w:val="Title"/>
        <w:rPr>
          <w:rFonts w:cs="Arial"/>
          <w:bCs w:val="0"/>
          <w:szCs w:val="28"/>
        </w:rPr>
      </w:pPr>
      <w:bookmarkStart w:name="_Hlk57888969" w:id="0"/>
      <w:r>
        <w:rPr>
          <w:noProof/>
        </w:rPr>
        <w:t>National Institute for Health and Care Excellence</w:t>
      </w:r>
    </w:p>
    <w:p w:rsidRPr="00572C22" w:rsidR="00572C22" w:rsidP="00572C22" w:rsidRDefault="00AB665C" w14:paraId="71742872" w14:textId="251E6538">
      <w:pPr>
        <w:pStyle w:val="Heading1"/>
        <w:jc w:val="center"/>
      </w:pPr>
      <w:r>
        <w:rPr>
          <w:rFonts w:cs="Arial"/>
          <w:bCs w:val="0"/>
          <w:szCs w:val="28"/>
        </w:rPr>
        <w:t>Rare Diseases</w:t>
      </w:r>
    </w:p>
    <w:p w:rsidR="00572C22" w:rsidP="00572C22" w:rsidRDefault="00572C22" w14:paraId="03AB8C41" w14:textId="77777777">
      <w:pPr>
        <w:pStyle w:val="Header"/>
        <w:rPr>
          <w:rFonts w:cs="Arial"/>
          <w:b/>
          <w:bCs/>
        </w:rPr>
      </w:pPr>
    </w:p>
    <w:p w:rsidRPr="0049596F" w:rsidR="00572C22" w:rsidP="00572C22" w:rsidRDefault="0049596F" w14:paraId="673045E5" w14:textId="553F58C5">
      <w:pPr>
        <w:pStyle w:val="Header"/>
        <w:rPr>
          <w:rFonts w:cs="Arial"/>
          <w:bCs/>
        </w:rPr>
      </w:pPr>
      <w:r>
        <w:rPr>
          <w:rFonts w:cs="Arial"/>
          <w:b/>
          <w:bCs/>
        </w:rPr>
        <w:t xml:space="preserve">Consultation on draft quality standard </w:t>
      </w:r>
      <w:r w:rsidRPr="005F370B" w:rsidR="00572C22">
        <w:rPr>
          <w:rFonts w:cs="Arial"/>
          <w:b/>
          <w:bCs/>
        </w:rPr>
        <w:t>– deadline for comments</w:t>
      </w:r>
      <w:r w:rsidRPr="0049596F" w:rsidR="00572C22">
        <w:rPr>
          <w:rFonts w:cs="Arial"/>
          <w:b/>
          <w:bCs/>
        </w:rPr>
        <w:t xml:space="preserve"> </w:t>
      </w:r>
      <w:r w:rsidRPr="00B81C00" w:rsidR="00AB665C">
        <w:rPr>
          <w:rFonts w:cs="Arial"/>
          <w:bCs/>
          <w:u w:val="single"/>
        </w:rPr>
        <w:t>5pm</w:t>
      </w:r>
      <w:r w:rsidRPr="00B81C00" w:rsidR="00572C22">
        <w:rPr>
          <w:rFonts w:cs="Arial"/>
          <w:bCs/>
          <w:u w:val="single"/>
        </w:rPr>
        <w:t xml:space="preserve"> on </w:t>
      </w:r>
      <w:r w:rsidRPr="00B81C00" w:rsidR="00AB665C">
        <w:rPr>
          <w:rFonts w:cs="Arial"/>
          <w:bCs/>
          <w:u w:val="single"/>
        </w:rPr>
        <w:t>20 January 2026</w:t>
      </w:r>
    </w:p>
    <w:p w:rsidR="0049596F" w:rsidP="00572C22" w:rsidRDefault="0049596F" w14:paraId="3537E1A5" w14:textId="77777777">
      <w:pPr>
        <w:pStyle w:val="Header"/>
        <w:rPr>
          <w:rFonts w:cs="Arial"/>
          <w:b/>
          <w:bCs/>
        </w:rPr>
      </w:pPr>
    </w:p>
    <w:p w:rsidRPr="0058027B" w:rsidR="00572C22" w:rsidP="00572C22" w:rsidRDefault="0049596F" w14:paraId="41F64971" w14:textId="6588A58C">
      <w:pPr>
        <w:pStyle w:val="Header"/>
        <w:rPr>
          <w:rFonts w:cs="Arial"/>
        </w:rPr>
      </w:pPr>
      <w:r w:rsidRPr="0058027B">
        <w:rPr>
          <w:rFonts w:cs="Arial"/>
          <w:b/>
          <w:bCs/>
        </w:rPr>
        <w:t>Please email your completed form to</w:t>
      </w:r>
      <w:r w:rsidRPr="0058027B" w:rsidR="00572C22">
        <w:rPr>
          <w:rFonts w:cs="Arial"/>
          <w:bCs/>
        </w:rPr>
        <w:t>:</w:t>
      </w:r>
      <w:r w:rsidRPr="0058027B" w:rsidR="00572C22">
        <w:rPr>
          <w:rFonts w:cs="Arial"/>
          <w:b/>
          <w:bCs/>
        </w:rPr>
        <w:t xml:space="preserve"> </w:t>
      </w:r>
      <w:hyperlink w:history="1" r:id="rId10">
        <w:r w:rsidR="00992678">
          <w:rPr>
            <w:rStyle w:val="Hyperlink"/>
            <w:rFonts w:cs="Arial"/>
          </w:rPr>
          <w:t>QualityStandards@nice.org.uk</w:t>
        </w:r>
      </w:hyperlink>
    </w:p>
    <w:p w:rsidRPr="0058027B" w:rsidR="00572C22" w:rsidP="00572C22" w:rsidRDefault="00572C22" w14:paraId="206C596E" w14:textId="77777777">
      <w:pPr>
        <w:pStyle w:val="Heading1"/>
        <w:rPr>
          <w:rFonts w:cs="Arial"/>
          <w:sz w:val="24"/>
          <w:szCs w:val="24"/>
        </w:rPr>
      </w:pPr>
    </w:p>
    <w:p w:rsidR="0049596F" w:rsidP="763EF2F2" w:rsidRDefault="0049596F" w14:paraId="77433B97" w14:textId="0A262209">
      <w:pPr>
        <w:shd w:val="clear" w:color="auto" w:fill="FFFFFF" w:themeFill="background1"/>
        <w:spacing w:after="120"/>
        <w:rPr>
          <w:rFonts w:ascii="Arial" w:hAnsi="Arial" w:cs="Arial"/>
          <w:lang w:val="en-US"/>
        </w:rPr>
      </w:pPr>
      <w:r w:rsidRPr="763EF2F2">
        <w:rPr>
          <w:rFonts w:ascii="Arial" w:hAnsi="Arial" w:cs="Arial"/>
          <w:lang w:val="en-US"/>
        </w:rPr>
        <w:t xml:space="preserve">Please read the checklist for submitting comments at the end of this form. We cannot accept forms that are not filled in correctly. </w:t>
      </w:r>
    </w:p>
    <w:p w:rsidR="00012E53" w:rsidP="003F1680" w:rsidRDefault="00012E53" w14:paraId="73F45D3A" w14:textId="00A96F7D">
      <w:pPr>
        <w:shd w:val="clear" w:color="auto" w:fill="FFFFFF"/>
        <w:spacing w:after="120"/>
        <w:rPr>
          <w:rFonts w:ascii="Arial" w:hAnsi="Arial" w:cs="Arial"/>
          <w:bCs/>
          <w:lang w:val="en"/>
        </w:rPr>
      </w:pPr>
    </w:p>
    <w:p w:rsidR="002C10C3" w:rsidP="003F1680" w:rsidRDefault="00012E53" w14:paraId="49DFE1D0" w14:textId="77777777">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(i.e.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rsidRPr="0058027B" w:rsidR="002C10C3" w:rsidP="002C10C3" w:rsidRDefault="002C10C3" w14:paraId="2CE6BD02" w14:textId="77777777">
      <w:pPr>
        <w:pStyle w:val="Paragraphnonumbers"/>
        <w:numPr>
          <w:ilvl w:val="0"/>
          <w:numId w:val="25"/>
        </w:numPr>
        <w:spacing w:line="240" w:lineRule="auto"/>
      </w:pPr>
      <w:r w:rsidRPr="0058027B">
        <w:t>Does this draft quality standard accurately reflect the key areas for quality improvement?</w:t>
      </w:r>
    </w:p>
    <w:p w:rsidR="009F0D22" w:rsidP="002C10C3" w:rsidRDefault="009F0D22" w14:paraId="0ECE9B2F" w14:textId="77777777">
      <w:pPr>
        <w:pStyle w:val="Paragraphnonumbers"/>
        <w:numPr>
          <w:ilvl w:val="0"/>
          <w:numId w:val="25"/>
        </w:numPr>
        <w:spacing w:after="0" w:line="240" w:lineRule="auto"/>
      </w:pPr>
      <w:r w:rsidRPr="00162829">
        <w:t>Can data for the proposed quality measures be collected locally? Please include in your answer any data sources that can be used or reasons why data cannot be collected.</w:t>
      </w:r>
    </w:p>
    <w:p w:rsidR="009F0D22" w:rsidP="009F0D22" w:rsidRDefault="009F0D22" w14:paraId="2ED218C1" w14:textId="77777777">
      <w:pPr>
        <w:pStyle w:val="Paragraphnonumbers"/>
        <w:spacing w:after="0" w:line="240" w:lineRule="auto"/>
        <w:ind w:left="720"/>
      </w:pPr>
    </w:p>
    <w:p w:rsidRPr="0058027B" w:rsidR="002C10C3" w:rsidP="002C10C3" w:rsidRDefault="002C10C3" w14:paraId="7E94729D" w14:textId="7F5F4B8D">
      <w:pPr>
        <w:pStyle w:val="Paragraphnonumbers"/>
        <w:numPr>
          <w:ilvl w:val="0"/>
          <w:numId w:val="25"/>
        </w:numPr>
        <w:spacing w:after="0" w:line="240" w:lineRule="auto"/>
      </w:pPr>
      <w:r>
        <w:t>Do you think each of the statements in this draft quality standard would be achievable by local services given the net resources needed to deliver them? Please describe any resource requirements that you think would be necessary for any statement.</w:t>
      </w:r>
      <w:r w:rsidDel="00973221">
        <w:t xml:space="preserve"> </w:t>
      </w:r>
      <w:r w:rsidRPr="00123C16" w:rsidR="009F0D22">
        <w:t>Please describe any potential cost savings or opportunities for disinvestment.</w:t>
      </w:r>
    </w:p>
    <w:p w:rsidRPr="0058027B" w:rsidR="002C10C3" w:rsidP="002C10C3" w:rsidRDefault="002C10C3" w14:paraId="1FFDF104" w14:textId="77777777">
      <w:pPr>
        <w:pStyle w:val="Paragraphnonumbers"/>
        <w:spacing w:after="0" w:line="240" w:lineRule="auto"/>
      </w:pPr>
    </w:p>
    <w:p w:rsidR="000D3A46" w:rsidP="002C10C3" w:rsidRDefault="000D3A46" w14:paraId="13FEB016" w14:textId="2E8FF0F9">
      <w:pPr>
        <w:pStyle w:val="Paragraphnonumbers"/>
        <w:numPr>
          <w:ilvl w:val="0"/>
          <w:numId w:val="25"/>
        </w:numPr>
        <w:spacing w:after="0" w:line="240" w:lineRule="auto"/>
      </w:pPr>
      <w:r w:rsidRPr="000D3A46">
        <w:t>Please provide your comments on the equality and health inequalities assessment (EHIA) and the equality and diversity considerations section for each quality statement. Please confirm any issues that have been missed and how they can be addressed by healthcare services and practitioners.</w:t>
      </w:r>
    </w:p>
    <w:p w:rsidR="000D3A46" w:rsidP="000D3A46" w:rsidRDefault="000D3A46" w14:paraId="2CB601C0" w14:textId="77777777">
      <w:pPr>
        <w:pStyle w:val="ListParagraph"/>
      </w:pPr>
    </w:p>
    <w:p w:rsidR="000D3A46" w:rsidP="000D3A46" w:rsidRDefault="000D3A46" w14:paraId="13D2EA62" w14:textId="77777777">
      <w:pPr>
        <w:pStyle w:val="Paragraphnonumbers"/>
        <w:spacing w:after="0" w:line="240" w:lineRule="auto"/>
      </w:pPr>
    </w:p>
    <w:p w:rsidRPr="0058027B" w:rsidR="000D3A46" w:rsidP="000D3A46" w:rsidRDefault="000D3A46" w14:paraId="63D3CDA2" w14:textId="6FFB1C2C">
      <w:pPr>
        <w:pStyle w:val="Paragraphnonumbers"/>
        <w:spacing w:after="0" w:line="240" w:lineRule="auto"/>
      </w:pPr>
      <w:r>
        <w:t>Implementing NICE guidelines</w:t>
      </w:r>
    </w:p>
    <w:p w:rsidRPr="0058027B" w:rsidR="002C10C3" w:rsidP="002C10C3" w:rsidRDefault="002C10C3" w14:paraId="5200C118" w14:textId="77777777">
      <w:pPr>
        <w:pStyle w:val="Paragraphnonumbers"/>
        <w:spacing w:after="0" w:line="240" w:lineRule="auto"/>
      </w:pPr>
    </w:p>
    <w:p w:rsidRPr="0058027B" w:rsidR="002C10C3" w:rsidP="002C10C3" w:rsidRDefault="009F0D22" w14:paraId="01FCA956" w14:textId="251FD475">
      <w:pPr>
        <w:pStyle w:val="Paragraphnonumbers"/>
        <w:numPr>
          <w:ilvl w:val="0"/>
          <w:numId w:val="25"/>
        </w:numPr>
        <w:spacing w:after="0" w:line="240" w:lineRule="auto"/>
      </w:pPr>
      <w:r w:rsidRPr="00EF6F93">
        <w:t>What are the challenges to implementing the NICE guidance underpinning this quality standard? Please say why and for whom. Please include any suggestions that could help users overcome these challenges (for example, existing practical resources or national initiatives)</w:t>
      </w:r>
      <w:r w:rsidR="002C10C3">
        <w:t>.</w:t>
      </w:r>
    </w:p>
    <w:p w:rsidRPr="0058027B" w:rsidR="00012E53" w:rsidP="003F1680" w:rsidRDefault="00012E53" w14:paraId="7F26B3CC" w14:textId="4FC168D7">
      <w:pPr>
        <w:shd w:val="clear" w:color="auto" w:fill="FFFFFF"/>
        <w:spacing w:after="120"/>
        <w:rPr>
          <w:rFonts w:ascii="Arial" w:hAnsi="Arial" w:cs="Arial"/>
          <w:bCs/>
          <w:lang w:val="en"/>
        </w:rPr>
      </w:pPr>
      <w:r>
        <w:rPr>
          <w:rFonts w:ascii="Arial" w:hAnsi="Arial" w:cs="Arial"/>
        </w:rPr>
        <w:t xml:space="preserve"> </w:t>
      </w:r>
    </w:p>
    <w:p w:rsidR="003F1680" w:rsidP="003F1680" w:rsidRDefault="003F1680" w14:paraId="25561B50" w14:textId="77777777">
      <w:pPr>
        <w:pStyle w:val="Paragraphnonumbers"/>
        <w:spacing w:after="0"/>
        <w:ind w:left="720"/>
        <w:rPr>
          <w:sz w:val="22"/>
          <w:szCs w:val="22"/>
        </w:rPr>
      </w:pPr>
    </w:p>
    <w:p w:rsidRPr="005F370B" w:rsidR="00572C22" w:rsidP="00572C22" w:rsidRDefault="00572C22" w14:paraId="0AF18B3F" w14:textId="77777777">
      <w:pPr>
        <w:pStyle w:val="Heading1"/>
        <w:rPr>
          <w:rFonts w:cs="Arial"/>
        </w:rPr>
      </w:pPr>
      <w:r w:rsidRPr="005F370B">
        <w:rPr>
          <w:rFonts w:cs="Arial"/>
        </w:rPr>
        <w:lastRenderedPageBreak/>
        <w:t>Organisation details</w:t>
      </w:r>
    </w:p>
    <w:p w:rsidRPr="005F370B" w:rsidR="00572C22" w:rsidP="00572C22" w:rsidRDefault="00572C22" w14:paraId="6F779E6A" w14:textId="77777777">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Pr="005F370B" w:rsidR="00572C22" w:rsidTr="79821A59" w14:paraId="6063926B" w14:textId="63A1DDEB">
        <w:tc>
          <w:tcPr>
            <w:tcW w:w="7087" w:type="dxa"/>
          </w:tcPr>
          <w:p w:rsidRPr="005F370B" w:rsidR="00572C22" w:rsidP="79821A59" w:rsidRDefault="00572C22" w14:paraId="5B0540FE" w14:textId="446C5FA8">
            <w:pPr>
              <w:pStyle w:val="Paragraphnonumbers"/>
              <w:spacing w:after="120"/>
              <w:rPr>
                <w:rFonts w:cs="Arial"/>
                <w:b/>
                <w:bCs/>
              </w:rPr>
            </w:pPr>
            <w:r w:rsidRPr="79821A59">
              <w:rPr>
                <w:rFonts w:cs="Arial"/>
                <w:b/>
                <w:bCs/>
              </w:rPr>
              <w:t>Organisation name</w:t>
            </w:r>
          </w:p>
          <w:p w:rsidRPr="005F370B" w:rsidR="00572C22" w:rsidP="00153AD9" w:rsidRDefault="00572C22" w14:paraId="739B2D1B" w14:textId="77777777">
            <w:pPr>
              <w:pStyle w:val="Paragraphnonumbers"/>
              <w:spacing w:after="120"/>
              <w:rPr>
                <w:rFonts w:cs="Arial"/>
              </w:rPr>
            </w:pPr>
            <w:r w:rsidRPr="005F370B">
              <w:rPr>
                <w:rFonts w:cs="Arial"/>
              </w:rPr>
              <w:t>(if you are responding as an individual rather than a registered stakeholder please leave blank)</w:t>
            </w:r>
          </w:p>
        </w:tc>
        <w:tc>
          <w:tcPr>
            <w:tcW w:w="8217" w:type="dxa"/>
          </w:tcPr>
          <w:p w:rsidRPr="005F370B" w:rsidR="00572C22" w:rsidP="00153AD9" w:rsidRDefault="00E15409" w14:paraId="53CB6C58" w14:textId="4429A940">
            <w:pPr>
              <w:pStyle w:val="Paragraphnonumbers"/>
              <w:spacing w:after="120"/>
              <w:rPr>
                <w:rFonts w:cs="Arial"/>
                <w:b/>
              </w:rPr>
            </w:pPr>
            <w:r>
              <w:rPr>
                <w:rFonts w:cs="Arial"/>
                <w:b/>
              </w:rPr>
              <w:t>Gene People</w:t>
            </w:r>
          </w:p>
        </w:tc>
      </w:tr>
      <w:tr w:rsidRPr="005F370B" w:rsidR="00572C22" w:rsidTr="79821A59" w14:paraId="4DC269FE" w14:textId="3E083BFE">
        <w:tc>
          <w:tcPr>
            <w:tcW w:w="7087" w:type="dxa"/>
          </w:tcPr>
          <w:p w:rsidRPr="005F370B" w:rsidR="00572C22" w:rsidP="00153AD9" w:rsidRDefault="00572C22" w14:paraId="66F4FE04" w14:textId="77777777">
            <w:pPr>
              <w:pStyle w:val="Paragraphnonumbers"/>
              <w:spacing w:after="120"/>
              <w:rPr>
                <w:rFonts w:cs="Arial"/>
                <w:b/>
              </w:rPr>
            </w:pPr>
            <w:r w:rsidRPr="005F370B">
              <w:rPr>
                <w:rFonts w:cs="Arial"/>
                <w:b/>
              </w:rPr>
              <w:t>Disclosure</w:t>
            </w:r>
          </w:p>
          <w:p w:rsidRPr="005F370B" w:rsidR="00572C22" w:rsidP="00153AD9" w:rsidRDefault="00572C22" w14:paraId="5FC1D5EA" w14:textId="77777777">
            <w:pPr>
              <w:pStyle w:val="Paragraphnonumbers"/>
              <w:spacing w:after="120"/>
              <w:rPr>
                <w:rFonts w:cs="Arial"/>
              </w:rPr>
            </w:pPr>
            <w:r w:rsidRPr="005F370B">
              <w:rPr>
                <w:rFonts w:cs="Arial"/>
              </w:rPr>
              <w:t>Please disclose any past or current, direct or indirect links to, or funding from, the tobacco industry.</w:t>
            </w:r>
          </w:p>
        </w:tc>
        <w:tc>
          <w:tcPr>
            <w:tcW w:w="8217" w:type="dxa"/>
          </w:tcPr>
          <w:p w:rsidRPr="005F370B" w:rsidR="00572C22" w:rsidP="00153AD9" w:rsidRDefault="00572C22" w14:paraId="5CF258D0" w14:textId="77777777">
            <w:pPr>
              <w:pStyle w:val="Paragraphnonumbers"/>
              <w:spacing w:after="120"/>
              <w:rPr>
                <w:rFonts w:cs="Arial"/>
                <w:b/>
              </w:rPr>
            </w:pPr>
          </w:p>
        </w:tc>
      </w:tr>
      <w:tr w:rsidRPr="005F370B" w:rsidR="00572C22" w:rsidTr="79821A59" w14:paraId="4C5969B3" w14:textId="5845FFB9">
        <w:tc>
          <w:tcPr>
            <w:tcW w:w="7087" w:type="dxa"/>
          </w:tcPr>
          <w:p w:rsidRPr="005F370B" w:rsidR="00572C22" w:rsidP="00153AD9" w:rsidRDefault="00572C22" w14:paraId="36691F86" w14:textId="77777777">
            <w:pPr>
              <w:pStyle w:val="Paragraphnonumbers"/>
              <w:spacing w:after="120"/>
              <w:rPr>
                <w:rFonts w:cs="Arial"/>
                <w:b/>
              </w:rPr>
            </w:pPr>
            <w:r w:rsidRPr="005F370B">
              <w:rPr>
                <w:rFonts w:cs="Arial"/>
                <w:b/>
              </w:rPr>
              <w:t>Name of person completing form</w:t>
            </w:r>
          </w:p>
        </w:tc>
        <w:tc>
          <w:tcPr>
            <w:tcW w:w="8217" w:type="dxa"/>
          </w:tcPr>
          <w:p w:rsidRPr="005F370B" w:rsidR="00572C22" w:rsidP="00153AD9" w:rsidRDefault="00E15409" w14:paraId="10704615" w14:textId="77EC3985">
            <w:pPr>
              <w:pStyle w:val="Paragraphnonumbers"/>
              <w:spacing w:after="120"/>
              <w:rPr>
                <w:rFonts w:cs="Arial"/>
                <w:b/>
              </w:rPr>
            </w:pPr>
            <w:r>
              <w:rPr>
                <w:rFonts w:cs="Arial"/>
                <w:b/>
              </w:rPr>
              <w:t>Samantha Barber</w:t>
            </w:r>
          </w:p>
        </w:tc>
      </w:tr>
      <w:tr w:rsidRPr="005F370B" w:rsidR="00572C22" w:rsidTr="79821A59" w14:paraId="192E73E8" w14:textId="3E3D605B">
        <w:tc>
          <w:tcPr>
            <w:tcW w:w="7087" w:type="dxa"/>
          </w:tcPr>
          <w:p w:rsidRPr="005F370B" w:rsidR="00572C22" w:rsidP="00153AD9" w:rsidRDefault="00572C22" w14:paraId="1D38CB93" w14:textId="77777777">
            <w:pPr>
              <w:pStyle w:val="Paragraphnonumbers"/>
              <w:rPr>
                <w:rFonts w:cs="Arial"/>
                <w:b/>
              </w:rPr>
            </w:pPr>
            <w:r w:rsidRPr="005F370B">
              <w:rPr>
                <w:rFonts w:cs="Arial"/>
                <w:b/>
              </w:rPr>
              <w:t>Supporting the quality standard</w:t>
            </w:r>
          </w:p>
          <w:p w:rsidRPr="005F370B" w:rsidR="00572C22" w:rsidP="00153AD9" w:rsidRDefault="00572C22" w14:paraId="26E68E2F" w14:textId="77777777">
            <w:pPr>
              <w:pStyle w:val="Paragraphnonumbers"/>
              <w:spacing w:after="120"/>
              <w:rPr>
                <w:rFonts w:cs="Arial"/>
              </w:rPr>
            </w:pPr>
            <w:r w:rsidRPr="005F370B">
              <w:rPr>
                <w:rFonts w:cs="Arial"/>
              </w:rPr>
              <w:t xml:space="preserve">Would your organisation like to express an interest in formally supporting this quality standard? </w:t>
            </w:r>
            <w:hyperlink w:history="1" r:id="rId11">
              <w:r w:rsidRPr="005F370B">
                <w:rPr>
                  <w:rStyle w:val="Hyperlink"/>
                  <w:rFonts w:cs="Arial"/>
                </w:rPr>
                <w:t>More information.</w:t>
              </w:r>
            </w:hyperlink>
          </w:p>
        </w:tc>
        <w:tc>
          <w:tcPr>
            <w:tcW w:w="8217" w:type="dxa"/>
          </w:tcPr>
          <w:p w:rsidRPr="005F370B" w:rsidR="00572C22" w:rsidP="00153AD9" w:rsidRDefault="001A646E" w14:paraId="53A65CE6" w14:textId="1017E829">
            <w:pPr>
              <w:pStyle w:val="Paragraphnonumbers"/>
              <w:rPr>
                <w:rFonts w:cs="Arial"/>
                <w:b/>
              </w:rPr>
            </w:pPr>
            <w:r>
              <w:rPr>
                <w:rFonts w:cs="Arial"/>
                <w:b/>
              </w:rPr>
              <w:t>Yes</w:t>
            </w:r>
          </w:p>
        </w:tc>
      </w:tr>
    </w:tbl>
    <w:p w:rsidRPr="005F370B" w:rsidR="00572C22" w:rsidP="00572C22" w:rsidRDefault="0049596F" w14:paraId="24382914" w14:textId="3D482512">
      <w:pPr>
        <w:pStyle w:val="Heading1"/>
        <w:spacing w:before="240"/>
        <w:rPr>
          <w:rFonts w:cs="Arial"/>
        </w:rPr>
      </w:pPr>
      <w:r w:rsidRPr="13929908">
        <w:rPr>
          <w:rFonts w:cs="Arial"/>
        </w:rPr>
        <w:t>Comments on the draft quality standard</w:t>
      </w:r>
    </w:p>
    <w:tbl>
      <w:tblPr>
        <w:tblStyle w:val="TableGrid"/>
        <w:tblW w:w="0" w:type="auto"/>
        <w:tblLook w:val="0420" w:firstRow="1" w:lastRow="0" w:firstColumn="0" w:lastColumn="0" w:noHBand="0" w:noVBand="1"/>
      </w:tblPr>
      <w:tblGrid>
        <w:gridCol w:w="1485"/>
        <w:gridCol w:w="2338"/>
        <w:gridCol w:w="11481"/>
      </w:tblGrid>
      <w:tr w:rsidRPr="00A51BD7" w:rsidR="00973221" w:rsidTr="7C85FA3B" w14:paraId="2D3D133B" w14:textId="77777777">
        <w:trPr>
          <w:trHeight w:val="1544"/>
        </w:trPr>
        <w:tc>
          <w:tcPr>
            <w:tcW w:w="1485" w:type="dxa"/>
            <w:shd w:val="clear" w:color="auto" w:fill="D9D9D9" w:themeFill="background1" w:themeFillShade="D9"/>
            <w:tcMar/>
            <w:vAlign w:val="center"/>
          </w:tcPr>
          <w:p w:rsidRPr="00A51BD7" w:rsidR="00973221" w:rsidP="00A51BD7" w:rsidRDefault="00973221" w14:paraId="198CAA07" w14:textId="7DF77B0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tcMar/>
            <w:vAlign w:val="center"/>
          </w:tcPr>
          <w:p w:rsidR="00973221" w:rsidP="00A51BD7" w:rsidRDefault="00973221" w14:paraId="01A22811" w14:textId="6AAFE55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rsidRPr="00A51BD7" w:rsidR="00973221" w:rsidP="00A51BD7" w:rsidRDefault="00973221" w14:paraId="4ACF13C9" w14:textId="2516443C">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tcMar/>
            <w:vAlign w:val="center"/>
          </w:tcPr>
          <w:p w:rsidRPr="00A51BD7" w:rsidR="00973221" w:rsidP="00A51BD7" w:rsidRDefault="00973221" w14:paraId="6A38E184" w14:textId="343C0779">
            <w:pPr>
              <w:pStyle w:val="Heading1"/>
              <w:spacing w:after="0"/>
              <w:jc w:val="center"/>
              <w:rPr>
                <w:rFonts w:cs="Arial"/>
                <w:sz w:val="24"/>
                <w:szCs w:val="24"/>
              </w:rPr>
            </w:pPr>
            <w:r w:rsidRPr="00A51BD7">
              <w:rPr>
                <w:rFonts w:cs="Arial"/>
                <w:sz w:val="24"/>
                <w:szCs w:val="24"/>
              </w:rPr>
              <w:t>Comments</w:t>
            </w:r>
          </w:p>
          <w:p w:rsidRPr="00A51BD7" w:rsidR="00973221" w:rsidP="00A51BD7" w:rsidRDefault="00973221" w14:paraId="23307B91" w14:textId="77777777">
            <w:pPr>
              <w:jc w:val="center"/>
              <w:rPr>
                <w:rFonts w:ascii="Arial" w:hAnsi="Arial" w:cs="Arial"/>
              </w:rPr>
            </w:pPr>
            <w:r w:rsidRPr="00A51BD7">
              <w:rPr>
                <w:rFonts w:ascii="Arial" w:hAnsi="Arial" w:cs="Arial"/>
              </w:rPr>
              <w:t>Insert each comment in a new row.</w:t>
            </w:r>
          </w:p>
          <w:p w:rsidRPr="00A51BD7" w:rsidR="00973221" w:rsidP="00A51BD7" w:rsidRDefault="00973221" w14:paraId="73555F7C" w14:textId="68B70E49">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Pr="00A51BD7" w:rsidR="00973221" w:rsidTr="7C85FA3B" w14:paraId="6B1D9F24" w14:textId="77777777">
        <w:trPr>
          <w:trHeight w:val="715"/>
        </w:trPr>
        <w:tc>
          <w:tcPr>
            <w:tcW w:w="1485" w:type="dxa"/>
            <w:tcMar/>
            <w:vAlign w:val="center"/>
          </w:tcPr>
          <w:p w:rsidRPr="00C35201" w:rsidR="00231D5D" w:rsidP="00397A34" w:rsidRDefault="008B4D06" w14:paraId="0FDE7D4E" w14:textId="78DDE667">
            <w:pPr>
              <w:pStyle w:val="TableText1"/>
              <w:rPr>
                <w:rFonts w:cs="Arial"/>
                <w:i/>
                <w:color w:val="C0504D" w:themeColor="accent2"/>
                <w:sz w:val="24"/>
              </w:rPr>
            </w:pPr>
            <w:r w:rsidRPr="00633706">
              <w:rPr>
                <w:rFonts w:cs="Arial"/>
                <w:i/>
                <w:color w:val="C0504D" w:themeColor="accent2"/>
                <w:sz w:val="24"/>
              </w:rPr>
              <w:t xml:space="preserve">Example </w:t>
            </w:r>
            <w:r w:rsidR="003833D1">
              <w:rPr>
                <w:rFonts w:cs="Arial"/>
                <w:i/>
                <w:color w:val="C0504D" w:themeColor="accent2"/>
                <w:sz w:val="24"/>
              </w:rPr>
              <w:t>1</w:t>
            </w:r>
          </w:p>
        </w:tc>
        <w:tc>
          <w:tcPr>
            <w:tcW w:w="2338" w:type="dxa"/>
            <w:tcMar/>
            <w:vAlign w:val="center"/>
          </w:tcPr>
          <w:p w:rsidRPr="00397A34" w:rsidR="00973221" w:rsidP="00C35201" w:rsidRDefault="008B4D06" w14:paraId="1A2AB958" w14:textId="3143C21C">
            <w:pPr>
              <w:jc w:val="center"/>
              <w:rPr>
                <w:rFonts w:ascii="Arial" w:hAnsi="Arial" w:cs="Arial"/>
                <w:i/>
                <w:color w:val="C0504D" w:themeColor="accent2"/>
              </w:rPr>
            </w:pPr>
            <w:r w:rsidRPr="00633706">
              <w:rPr>
                <w:rFonts w:ascii="Arial" w:hAnsi="Arial" w:cs="Arial"/>
                <w:i/>
                <w:color w:val="C0504D" w:themeColor="accent2"/>
              </w:rPr>
              <w:t xml:space="preserve">Statement </w:t>
            </w:r>
            <w:r w:rsidRPr="00633706" w:rsidR="00973221">
              <w:rPr>
                <w:rFonts w:ascii="Arial" w:hAnsi="Arial" w:cs="Arial"/>
                <w:i/>
                <w:color w:val="C0504D" w:themeColor="accent2"/>
              </w:rPr>
              <w:t>1</w:t>
            </w:r>
          </w:p>
        </w:tc>
        <w:tc>
          <w:tcPr>
            <w:tcW w:w="11481" w:type="dxa"/>
            <w:tcMar/>
            <w:vAlign w:val="center"/>
          </w:tcPr>
          <w:p w:rsidRPr="00C35201" w:rsidR="00231D5D" w:rsidP="00C35201" w:rsidRDefault="00973221" w14:paraId="74152AF3" w14:textId="37BD5176">
            <w:pPr>
              <w:pStyle w:val="Paragraphnonumbers"/>
              <w:spacing w:after="0"/>
              <w:rPr>
                <w:rFonts w:cs="Arial"/>
                <w:i/>
                <w:iCs/>
                <w:color w:val="C0504D" w:themeColor="accent2"/>
              </w:rPr>
            </w:pPr>
            <w:r w:rsidRPr="00633706">
              <w:rPr>
                <w:rFonts w:cs="Arial"/>
                <w:i/>
                <w:iCs/>
                <w:color w:val="C0504D" w:themeColor="accent2"/>
              </w:rPr>
              <w:t>This statement may be hard to measure because…</w:t>
            </w:r>
          </w:p>
        </w:tc>
      </w:tr>
      <w:tr w:rsidRPr="00A51BD7" w:rsidR="00973221" w:rsidTr="7C85FA3B" w14:paraId="7BEB9919" w14:textId="77777777">
        <w:tc>
          <w:tcPr>
            <w:tcW w:w="1485" w:type="dxa"/>
            <w:tcMar/>
            <w:vAlign w:val="center"/>
          </w:tcPr>
          <w:p w:rsidRPr="00A51BD7" w:rsidR="00973221" w:rsidP="00A51BD7" w:rsidRDefault="00973221" w14:paraId="6A6F1373" w14:textId="66B94F39">
            <w:pPr>
              <w:pStyle w:val="Paragraphnonumbers"/>
              <w:spacing w:after="0"/>
              <w:jc w:val="center"/>
              <w:rPr>
                <w:rFonts w:cs="Arial"/>
              </w:rPr>
            </w:pPr>
            <w:r w:rsidRPr="00A51BD7">
              <w:rPr>
                <w:rFonts w:cs="Arial"/>
              </w:rPr>
              <w:t>1</w:t>
            </w:r>
          </w:p>
        </w:tc>
        <w:tc>
          <w:tcPr>
            <w:tcW w:w="2338" w:type="dxa"/>
            <w:tcMar/>
            <w:vAlign w:val="center"/>
          </w:tcPr>
          <w:p w:rsidRPr="00A51BD7" w:rsidR="00973221" w:rsidP="00633706" w:rsidRDefault="006B2A6A" w14:paraId="2D1C37AC" w14:textId="7947C756">
            <w:pPr>
              <w:pStyle w:val="Paragraphnonumbers"/>
              <w:spacing w:after="0"/>
              <w:jc w:val="center"/>
              <w:rPr>
                <w:rFonts w:cs="Arial"/>
              </w:rPr>
            </w:pPr>
            <w:r>
              <w:rPr>
                <w:rFonts w:cs="Arial"/>
              </w:rPr>
              <w:t>General</w:t>
            </w:r>
          </w:p>
        </w:tc>
        <w:tc>
          <w:tcPr>
            <w:tcW w:w="11481" w:type="dxa"/>
            <w:tcMar/>
            <w:vAlign w:val="center"/>
          </w:tcPr>
          <w:p w:rsidRPr="00A51BD7" w:rsidR="00973221" w:rsidP="00A51BD7" w:rsidRDefault="000F3E32" w14:paraId="2E909688" w14:textId="4F72769D">
            <w:pPr>
              <w:pStyle w:val="Paragraphnonumbers"/>
              <w:spacing w:after="0"/>
              <w:rPr>
                <w:rFonts w:cs="Arial"/>
              </w:rPr>
            </w:pPr>
            <w:r w:rsidRPr="7C85FA3B" w:rsidR="000F3E32">
              <w:rPr>
                <w:rFonts w:cs="Arial"/>
              </w:rPr>
              <w:t xml:space="preserve">Gene People, as a representative of the rare disease community, broadly supports the proposed quality standards and welcomes the focus on improving care and experience for people living with rare conditions, their </w:t>
            </w:r>
            <w:r w:rsidRPr="7C85FA3B" w:rsidR="000F3E32">
              <w:rPr>
                <w:rFonts w:cs="Arial"/>
              </w:rPr>
              <w:t>families</w:t>
            </w:r>
            <w:r w:rsidRPr="7C85FA3B" w:rsidR="000F3E32">
              <w:rPr>
                <w:rFonts w:cs="Arial"/>
              </w:rPr>
              <w:t xml:space="preserve"> and carers. However, the real test of </w:t>
            </w:r>
            <w:r w:rsidRPr="7C85FA3B" w:rsidR="0ABEF485">
              <w:rPr>
                <w:rFonts w:cs="Arial"/>
              </w:rPr>
              <w:t>impact</w:t>
            </w:r>
            <w:r w:rsidRPr="7C85FA3B" w:rsidR="000F3E32">
              <w:rPr>
                <w:rFonts w:cs="Arial"/>
              </w:rPr>
              <w:t xml:space="preserve"> will be in implementation and action. Without clear accountability, consistent delivery and meaningful monitoring, the standards risk </w:t>
            </w:r>
            <w:r w:rsidRPr="7C85FA3B" w:rsidR="000F3E32">
              <w:rPr>
                <w:rFonts w:cs="Arial"/>
              </w:rPr>
              <w:t>remaining</w:t>
            </w:r>
            <w:r w:rsidRPr="7C85FA3B" w:rsidR="000F3E32">
              <w:rPr>
                <w:rFonts w:cs="Arial"/>
              </w:rPr>
              <w:t xml:space="preserve"> aspirational. We stand alongside other rare disease voices, including Genetic Alliance UK and the Specialised Healthcare Alliance, in calling for a strong focus on turning these commitments into practical, measurable improvements across the system.</w:t>
            </w:r>
          </w:p>
        </w:tc>
      </w:tr>
      <w:tr w:rsidRPr="00A51BD7" w:rsidR="008B4D06" w:rsidTr="7C85FA3B" w14:paraId="4A60E9AB" w14:textId="77777777">
        <w:tc>
          <w:tcPr>
            <w:tcW w:w="1485" w:type="dxa"/>
            <w:tcMar/>
            <w:vAlign w:val="center"/>
          </w:tcPr>
          <w:p w:rsidRPr="00A51BD7" w:rsidR="008B4D06" w:rsidP="008B4D06" w:rsidRDefault="008B4D06" w14:paraId="185D4F0B" w14:textId="0A00BFF6">
            <w:pPr>
              <w:pStyle w:val="Paragraphnonumbers"/>
              <w:spacing w:after="0"/>
              <w:jc w:val="center"/>
              <w:rPr>
                <w:rFonts w:cs="Arial"/>
              </w:rPr>
            </w:pPr>
            <w:r w:rsidRPr="00A51BD7">
              <w:rPr>
                <w:rFonts w:cs="Arial"/>
              </w:rPr>
              <w:lastRenderedPageBreak/>
              <w:t>2</w:t>
            </w:r>
          </w:p>
        </w:tc>
        <w:tc>
          <w:tcPr>
            <w:tcW w:w="2338" w:type="dxa"/>
            <w:tcMar/>
          </w:tcPr>
          <w:p w:rsidRPr="00A51BD7" w:rsidR="008B4D06" w:rsidP="00633706" w:rsidRDefault="006B2A6A" w14:paraId="068E8AB8" w14:textId="066A4EAF">
            <w:pPr>
              <w:pStyle w:val="Paragraphnonumbers"/>
              <w:spacing w:after="0"/>
              <w:jc w:val="center"/>
              <w:rPr>
                <w:rFonts w:cs="Arial"/>
              </w:rPr>
            </w:pPr>
            <w:r>
              <w:rPr>
                <w:rFonts w:cs="Arial"/>
              </w:rPr>
              <w:t>Question 1</w:t>
            </w:r>
          </w:p>
        </w:tc>
        <w:tc>
          <w:tcPr>
            <w:tcW w:w="11481" w:type="dxa"/>
            <w:tcMar/>
            <w:vAlign w:val="center"/>
          </w:tcPr>
          <w:p w:rsidRPr="00A51BD7" w:rsidR="008B4D06" w:rsidP="008B4D06" w:rsidRDefault="00BA6018" w14:paraId="256C64BA" w14:textId="08226F0A">
            <w:pPr>
              <w:pStyle w:val="Paragraphnonumbers"/>
              <w:spacing w:after="0"/>
              <w:rPr>
                <w:rFonts w:cs="Arial"/>
              </w:rPr>
            </w:pPr>
            <w:r w:rsidRPr="00BA6018">
              <w:rPr>
                <w:rFonts w:cs="Arial"/>
              </w:rPr>
              <w:t>Yes. If implemented effectively, this quality standard could improve outcomes and experiences for people living with rare diseases, their families and carers. It addresses the right priorities, including timely diagnosis, coordinated care, access to clear information, holistic support and equitable access to treatment and research. The focus on the whole care pathway, including people who remain undiagnosed, reflects lived experience well. However, its success will depend on</w:t>
            </w:r>
            <w:r w:rsidR="00046857">
              <w:rPr>
                <w:rFonts w:cs="Arial"/>
              </w:rPr>
              <w:t xml:space="preserve"> </w:t>
            </w:r>
            <w:r w:rsidRPr="00BA6018">
              <w:rPr>
                <w:rFonts w:cs="Arial"/>
              </w:rPr>
              <w:t xml:space="preserve">implementation and sufficient resourcing at </w:t>
            </w:r>
            <w:r>
              <w:rPr>
                <w:rFonts w:cs="Arial"/>
              </w:rPr>
              <w:t xml:space="preserve">the </w:t>
            </w:r>
            <w:r w:rsidRPr="00BA6018">
              <w:rPr>
                <w:rFonts w:cs="Arial"/>
              </w:rPr>
              <w:t>local level; without this, the benefits will not be realised in practice.</w:t>
            </w:r>
          </w:p>
        </w:tc>
      </w:tr>
      <w:tr w:rsidRPr="00A51BD7" w:rsidR="006B2A6A" w:rsidTr="7C85FA3B" w14:paraId="62544936" w14:textId="77777777">
        <w:trPr>
          <w:trHeight w:val="841"/>
        </w:trPr>
        <w:tc>
          <w:tcPr>
            <w:tcW w:w="1485" w:type="dxa"/>
            <w:tcMar/>
            <w:vAlign w:val="center"/>
          </w:tcPr>
          <w:p w:rsidRPr="00A51BD7" w:rsidR="006B2A6A" w:rsidP="006B2A6A" w:rsidRDefault="006B2A6A" w14:paraId="02F12482" w14:textId="40D3EF62">
            <w:pPr>
              <w:pStyle w:val="Paragraphnonumbers"/>
              <w:spacing w:after="0"/>
              <w:jc w:val="center"/>
              <w:rPr>
                <w:rFonts w:cs="Arial"/>
              </w:rPr>
            </w:pPr>
            <w:r w:rsidRPr="00A51BD7">
              <w:rPr>
                <w:rFonts w:cs="Arial"/>
              </w:rPr>
              <w:t>3</w:t>
            </w:r>
          </w:p>
        </w:tc>
        <w:tc>
          <w:tcPr>
            <w:tcW w:w="2338" w:type="dxa"/>
            <w:tcMar/>
          </w:tcPr>
          <w:p w:rsidRPr="00A51BD7" w:rsidR="006B2A6A" w:rsidP="00633706" w:rsidRDefault="006B2A6A" w14:paraId="70E615EE" w14:textId="5532F66B">
            <w:pPr>
              <w:pStyle w:val="Paragraphnonumbers"/>
              <w:spacing w:after="0"/>
              <w:jc w:val="center"/>
              <w:rPr>
                <w:rFonts w:cs="Arial"/>
              </w:rPr>
            </w:pPr>
            <w:r w:rsidRPr="00180286">
              <w:rPr>
                <w:rFonts w:cs="Arial"/>
              </w:rPr>
              <w:t xml:space="preserve">Question </w:t>
            </w:r>
            <w:r>
              <w:rPr>
                <w:rFonts w:cs="Arial"/>
              </w:rPr>
              <w:t>2</w:t>
            </w:r>
          </w:p>
        </w:tc>
        <w:tc>
          <w:tcPr>
            <w:tcW w:w="11481" w:type="dxa"/>
            <w:tcMar/>
            <w:vAlign w:val="center"/>
          </w:tcPr>
          <w:p w:rsidRPr="00A51BD7" w:rsidR="006B2A6A" w:rsidP="006B2A6A" w:rsidRDefault="00151EE7" w14:paraId="45E44C6A" w14:textId="230F3804">
            <w:pPr>
              <w:pStyle w:val="Paragraphnonumbers"/>
              <w:spacing w:after="0"/>
              <w:rPr>
                <w:rFonts w:cs="Arial"/>
              </w:rPr>
            </w:pPr>
            <w:r>
              <w:rPr>
                <w:rFonts w:cs="Arial"/>
              </w:rPr>
              <w:t>This question is outside our area of expertise.</w:t>
            </w:r>
          </w:p>
        </w:tc>
      </w:tr>
      <w:tr w:rsidRPr="00A51BD7" w:rsidR="006B2A6A" w:rsidTr="7C85FA3B" w14:paraId="5B26100A" w14:textId="77777777">
        <w:trPr>
          <w:trHeight w:val="693"/>
        </w:trPr>
        <w:tc>
          <w:tcPr>
            <w:tcW w:w="1485" w:type="dxa"/>
            <w:tcMar/>
            <w:vAlign w:val="center"/>
          </w:tcPr>
          <w:p w:rsidRPr="00A51BD7" w:rsidR="006B2A6A" w:rsidP="006B2A6A" w:rsidRDefault="006B2A6A" w14:paraId="56897A20" w14:textId="36AD8AFC">
            <w:pPr>
              <w:pStyle w:val="Paragraphnonumbers"/>
              <w:spacing w:after="0"/>
              <w:jc w:val="center"/>
              <w:rPr>
                <w:rFonts w:cs="Arial"/>
              </w:rPr>
            </w:pPr>
            <w:r w:rsidRPr="00A51BD7">
              <w:rPr>
                <w:rFonts w:cs="Arial"/>
              </w:rPr>
              <w:t>4</w:t>
            </w:r>
          </w:p>
        </w:tc>
        <w:tc>
          <w:tcPr>
            <w:tcW w:w="2338" w:type="dxa"/>
            <w:tcMar/>
          </w:tcPr>
          <w:p w:rsidRPr="00A51BD7" w:rsidR="006B2A6A" w:rsidP="00633706" w:rsidRDefault="006B2A6A" w14:paraId="09FC3462" w14:textId="4E90E3BE">
            <w:pPr>
              <w:pStyle w:val="Paragraphnonumbers"/>
              <w:spacing w:after="0"/>
              <w:jc w:val="center"/>
              <w:rPr>
                <w:rFonts w:cs="Arial"/>
              </w:rPr>
            </w:pPr>
            <w:r w:rsidRPr="00180286">
              <w:rPr>
                <w:rFonts w:cs="Arial"/>
              </w:rPr>
              <w:t xml:space="preserve">Question </w:t>
            </w:r>
            <w:r>
              <w:rPr>
                <w:rFonts w:cs="Arial"/>
              </w:rPr>
              <w:t>3</w:t>
            </w:r>
          </w:p>
        </w:tc>
        <w:tc>
          <w:tcPr>
            <w:tcW w:w="11481" w:type="dxa"/>
            <w:tcMar/>
            <w:vAlign w:val="center"/>
          </w:tcPr>
          <w:p w:rsidRPr="00A51BD7" w:rsidR="006B2A6A" w:rsidP="006B2A6A" w:rsidRDefault="00151EE7" w14:paraId="2B724DF9" w14:textId="5311ECF9">
            <w:pPr>
              <w:pStyle w:val="Paragraphnonumbers"/>
              <w:spacing w:after="0"/>
              <w:rPr>
                <w:rFonts w:cs="Arial"/>
              </w:rPr>
            </w:pPr>
            <w:r>
              <w:rPr>
                <w:rFonts w:cs="Arial"/>
              </w:rPr>
              <w:t xml:space="preserve">This question is outside our </w:t>
            </w:r>
            <w:r>
              <w:rPr>
                <w:rFonts w:cs="Arial"/>
              </w:rPr>
              <w:t>are</w:t>
            </w:r>
            <w:r w:rsidR="00777B62">
              <w:rPr>
                <w:rFonts w:cs="Arial"/>
              </w:rPr>
              <w:t>a</w:t>
            </w:r>
            <w:r>
              <w:rPr>
                <w:rFonts w:cs="Arial"/>
              </w:rPr>
              <w:t xml:space="preserve"> of expertise.</w:t>
            </w:r>
          </w:p>
        </w:tc>
      </w:tr>
      <w:tr w:rsidRPr="00A51BD7" w:rsidR="006B2A6A" w:rsidTr="7C85FA3B" w14:paraId="5C954768" w14:textId="77777777">
        <w:tc>
          <w:tcPr>
            <w:tcW w:w="1485" w:type="dxa"/>
            <w:tcMar/>
            <w:vAlign w:val="center"/>
          </w:tcPr>
          <w:p w:rsidRPr="00A51BD7" w:rsidR="006B2A6A" w:rsidP="006B2A6A" w:rsidRDefault="006B2A6A" w14:paraId="5E422D84" w14:textId="03A8025D">
            <w:pPr>
              <w:pStyle w:val="Paragraphnonumbers"/>
              <w:spacing w:after="0"/>
              <w:jc w:val="center"/>
              <w:rPr>
                <w:rFonts w:cs="Arial"/>
              </w:rPr>
            </w:pPr>
            <w:r w:rsidRPr="00A51BD7">
              <w:rPr>
                <w:rFonts w:cs="Arial"/>
              </w:rPr>
              <w:t>5</w:t>
            </w:r>
          </w:p>
        </w:tc>
        <w:tc>
          <w:tcPr>
            <w:tcW w:w="2338" w:type="dxa"/>
            <w:tcMar/>
          </w:tcPr>
          <w:p w:rsidRPr="00A51BD7" w:rsidR="006B2A6A" w:rsidP="00633706" w:rsidRDefault="006B2A6A" w14:paraId="4186C7F9" w14:textId="21A73E96">
            <w:pPr>
              <w:pStyle w:val="Paragraphnonumbers"/>
              <w:spacing w:after="0"/>
              <w:jc w:val="center"/>
              <w:rPr>
                <w:rFonts w:cs="Arial"/>
              </w:rPr>
            </w:pPr>
            <w:r w:rsidRPr="00180286">
              <w:rPr>
                <w:rFonts w:cs="Arial"/>
              </w:rPr>
              <w:t xml:space="preserve">Question </w:t>
            </w:r>
            <w:r>
              <w:rPr>
                <w:rFonts w:cs="Arial"/>
              </w:rPr>
              <w:t>4</w:t>
            </w:r>
          </w:p>
        </w:tc>
        <w:tc>
          <w:tcPr>
            <w:tcW w:w="11481" w:type="dxa"/>
            <w:tcMar/>
            <w:vAlign w:val="center"/>
          </w:tcPr>
          <w:p w:rsidRPr="00A51BD7" w:rsidR="008B5163" w:rsidP="7C85FA3B" w:rsidRDefault="00E0338D" w14:paraId="0B27C81A" w14:textId="238D3F97">
            <w:pPr>
              <w:shd w:val="clear" w:color="auto" w:fill="FFFFFF" w:themeFill="background1"/>
              <w:spacing w:before="0" w:beforeAutospacing="off" w:after="0" w:afterAutospacing="off"/>
            </w:pPr>
            <w:r w:rsidRPr="7C85FA3B" w:rsidR="18BE76D4">
              <w:rPr>
                <w:rFonts w:ascii="Arial" w:hAnsi="Arial" w:eastAsia="Arial" w:cs="Arial"/>
                <w:b w:val="0"/>
                <w:bCs w:val="0"/>
                <w:i w:val="0"/>
                <w:iCs w:val="0"/>
                <w:caps w:val="0"/>
                <w:smallCaps w:val="0"/>
                <w:noProof w:val="0"/>
                <w:color w:val="000000" w:themeColor="text1" w:themeTint="FF" w:themeShade="FF"/>
                <w:sz w:val="24"/>
                <w:szCs w:val="24"/>
                <w:lang w:val="en-GB"/>
              </w:rPr>
              <w:t>The Equality and Health Inequalities Assessment is high-level, and we see scope to increase specificity. We suggest revisiting the following</w:t>
            </w:r>
            <w:r w:rsidRPr="7C85FA3B" w:rsidR="634D956F">
              <w:rPr>
                <w:rFonts w:ascii="Arial" w:hAnsi="Arial" w:eastAsia="Arial" w:cs="Arial"/>
                <w:b w:val="0"/>
                <w:bCs w:val="0"/>
                <w:i w:val="0"/>
                <w:iCs w:val="0"/>
                <w:caps w:val="0"/>
                <w:smallCaps w:val="0"/>
                <w:noProof w:val="0"/>
                <w:color w:val="000000" w:themeColor="text1" w:themeTint="FF" w:themeShade="FF"/>
                <w:sz w:val="24"/>
                <w:szCs w:val="24"/>
                <w:lang w:val="en-GB"/>
              </w:rPr>
              <w:t>:</w:t>
            </w:r>
          </w:p>
          <w:p w:rsidRPr="00A51BD7" w:rsidR="008B5163" w:rsidP="7C85FA3B" w:rsidRDefault="00E0338D" w14:paraId="01334137" w14:textId="0E5ED55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p>
          <w:p w:rsidRPr="00A51BD7" w:rsidR="008B5163" w:rsidP="7C85FA3B" w:rsidRDefault="00E0338D" w14:paraId="78EE05EF" w14:textId="14DA953C">
            <w:pPr>
              <w:pStyle w:val="ListParagraph"/>
              <w:numPr>
                <w:ilvl w:val="0"/>
                <w:numId w:val="27"/>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7C85FA3B" w:rsidR="18BE76D4">
              <w:rPr>
                <w:rFonts w:ascii="Arial" w:hAnsi="Arial" w:eastAsia="Arial" w:cs="Arial"/>
                <w:b w:val="1"/>
                <w:bCs w:val="1"/>
                <w:i w:val="0"/>
                <w:iCs w:val="0"/>
                <w:caps w:val="0"/>
                <w:smallCaps w:val="0"/>
                <w:noProof w:val="0"/>
                <w:color w:val="000000" w:themeColor="text1" w:themeTint="FF" w:themeShade="FF"/>
                <w:sz w:val="24"/>
                <w:szCs w:val="24"/>
                <w:lang w:val="en-GB"/>
              </w:rPr>
              <w:t>Socioeconomic status and deprivation:</w:t>
            </w:r>
            <w:r w:rsidRPr="7C85FA3B" w:rsidR="18BE76D4">
              <w:rPr>
                <w:rFonts w:ascii="Arial" w:hAnsi="Arial" w:eastAsia="Arial" w:cs="Arial"/>
                <w:b w:val="0"/>
                <w:bCs w:val="0"/>
                <w:i w:val="0"/>
                <w:iCs w:val="0"/>
                <w:caps w:val="0"/>
                <w:smallCaps w:val="0"/>
                <w:noProof w:val="0"/>
                <w:color w:val="000000" w:themeColor="text1" w:themeTint="FF" w:themeShade="FF"/>
                <w:sz w:val="24"/>
                <w:szCs w:val="24"/>
                <w:lang w:val="en-GB"/>
              </w:rPr>
              <w:t xml:space="preserve"> People from deprived socio-economic backgrounds also experience lower health literacy rates, which can negatively affect their ability to advocate for themselves and actively </w:t>
            </w:r>
            <w:r w:rsidRPr="7C85FA3B" w:rsidR="18BE76D4">
              <w:rPr>
                <w:rFonts w:ascii="Arial" w:hAnsi="Arial" w:eastAsia="Arial" w:cs="Arial"/>
                <w:b w:val="0"/>
                <w:bCs w:val="0"/>
                <w:i w:val="0"/>
                <w:iCs w:val="0"/>
                <w:caps w:val="0"/>
                <w:smallCaps w:val="0"/>
                <w:noProof w:val="0"/>
                <w:color w:val="000000" w:themeColor="text1" w:themeTint="FF" w:themeShade="FF"/>
                <w:sz w:val="24"/>
                <w:szCs w:val="24"/>
                <w:lang w:val="en-GB"/>
              </w:rPr>
              <w:t>participate</w:t>
            </w:r>
            <w:r w:rsidRPr="7C85FA3B" w:rsidR="18BE76D4">
              <w:rPr>
                <w:rFonts w:ascii="Arial" w:hAnsi="Arial" w:eastAsia="Arial" w:cs="Arial"/>
                <w:b w:val="0"/>
                <w:bCs w:val="0"/>
                <w:i w:val="0"/>
                <w:iCs w:val="0"/>
                <w:caps w:val="0"/>
                <w:smallCaps w:val="0"/>
                <w:noProof w:val="0"/>
                <w:color w:val="000000" w:themeColor="text1" w:themeTint="FF" w:themeShade="FF"/>
                <w:sz w:val="24"/>
                <w:szCs w:val="24"/>
                <w:lang w:val="en-GB"/>
              </w:rPr>
              <w:t xml:space="preserve"> in health decision-making (NHS Briefing: </w:t>
            </w:r>
            <w:hyperlink r:id="R88db02881b6f41bc">
              <w:r w:rsidRPr="7C85FA3B" w:rsidR="18BE76D4">
                <w:rPr>
                  <w:rStyle w:val="Hyperlink"/>
                  <w:rFonts w:ascii="Arial" w:hAnsi="Arial" w:eastAsia="Arial" w:cs="Arial"/>
                  <w:b w:val="0"/>
                  <w:bCs w:val="0"/>
                  <w:i w:val="0"/>
                  <w:iCs w:val="0"/>
                  <w:caps w:val="0"/>
                  <w:smallCaps w:val="0"/>
                  <w:noProof w:val="0"/>
                  <w:sz w:val="24"/>
                  <w:szCs w:val="24"/>
                  <w:lang w:val="en-GB"/>
                </w:rPr>
                <w:t>4b_Health_Literacy-Briefing.pdf</w:t>
              </w:r>
            </w:hyperlink>
            <w:r w:rsidRPr="7C85FA3B" w:rsidR="18BE76D4">
              <w:rPr>
                <w:rFonts w:ascii="Arial" w:hAnsi="Arial" w:eastAsia="Arial" w:cs="Arial"/>
                <w:b w:val="0"/>
                <w:bCs w:val="0"/>
                <w:i w:val="0"/>
                <w:iCs w:val="0"/>
                <w:caps w:val="0"/>
                <w:smallCaps w:val="0"/>
                <w:noProof w:val="0"/>
                <w:color w:val="000000" w:themeColor="text1" w:themeTint="FF" w:themeShade="FF"/>
                <w:sz w:val="24"/>
                <w:szCs w:val="24"/>
                <w:lang w:val="en-GB"/>
              </w:rPr>
              <w:t>)</w:t>
            </w:r>
          </w:p>
          <w:p w:rsidRPr="00A51BD7" w:rsidR="008B5163" w:rsidP="7C85FA3B" w:rsidRDefault="00E0338D" w14:paraId="2D6E6B5E" w14:textId="4A15F465">
            <w:pPr>
              <w:pStyle w:val="ListParagraph"/>
              <w:shd w:val="clear" w:color="auto" w:fill="FFFFFF" w:themeFill="background1"/>
              <w:spacing w:before="0" w:beforeAutospacing="off" w:after="0" w:afterAutospacing="off"/>
              <w:ind w:left="720"/>
              <w:rPr>
                <w:rFonts w:ascii="Arial" w:hAnsi="Arial" w:eastAsia="Arial" w:cs="Arial"/>
                <w:b w:val="0"/>
                <w:bCs w:val="0"/>
                <w:i w:val="0"/>
                <w:iCs w:val="0"/>
                <w:caps w:val="0"/>
                <w:smallCaps w:val="0"/>
                <w:noProof w:val="0"/>
                <w:color w:val="000000" w:themeColor="text1" w:themeTint="FF" w:themeShade="FF"/>
                <w:sz w:val="24"/>
                <w:szCs w:val="24"/>
                <w:lang w:val="en-GB"/>
              </w:rPr>
            </w:pPr>
          </w:p>
          <w:p w:rsidRPr="00A51BD7" w:rsidR="008B5163" w:rsidP="7C85FA3B" w:rsidRDefault="00E0338D" w14:paraId="2341B5A9" w14:textId="2900464B">
            <w:pPr>
              <w:pStyle w:val="ListParagraph"/>
              <w:numPr>
                <w:ilvl w:val="0"/>
                <w:numId w:val="28"/>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7C85FA3B" w:rsidR="18BE76D4">
              <w:rPr>
                <w:rFonts w:ascii="Arial" w:hAnsi="Arial" w:eastAsia="Arial" w:cs="Arial"/>
                <w:b w:val="1"/>
                <w:bCs w:val="1"/>
                <w:i w:val="0"/>
                <w:iCs w:val="0"/>
                <w:caps w:val="0"/>
                <w:smallCaps w:val="0"/>
                <w:noProof w:val="0"/>
                <w:color w:val="000000" w:themeColor="text1" w:themeTint="FF" w:themeShade="FF"/>
                <w:sz w:val="24"/>
                <w:szCs w:val="24"/>
                <w:lang w:val="en-GB"/>
              </w:rPr>
              <w:t>Inclusion health and vulnerable groups:</w:t>
            </w:r>
            <w:r w:rsidRPr="7C85FA3B" w:rsidR="18BE76D4">
              <w:rPr>
                <w:rFonts w:ascii="Arial" w:hAnsi="Arial" w:eastAsia="Arial" w:cs="Arial"/>
                <w:b w:val="0"/>
                <w:bCs w:val="0"/>
                <w:i w:val="0"/>
                <w:iCs w:val="0"/>
                <w:caps w:val="0"/>
                <w:smallCaps w:val="0"/>
                <w:noProof w:val="0"/>
                <w:color w:val="000000" w:themeColor="text1" w:themeTint="FF" w:themeShade="FF"/>
                <w:sz w:val="24"/>
                <w:szCs w:val="24"/>
                <w:lang w:val="en-GB"/>
              </w:rPr>
              <w:t xml:space="preserve"> Gypsy, Roma and Traveller communities are heavily disadvantaged in the healthcare system - </w:t>
            </w:r>
            <w:hyperlink r:id="R9ab10a9c6e724d26">
              <w:r w:rsidRPr="7C85FA3B" w:rsidR="18BE76D4">
                <w:rPr>
                  <w:rStyle w:val="Hyperlink"/>
                  <w:rFonts w:ascii="Arial" w:hAnsi="Arial" w:eastAsia="Arial" w:cs="Arial"/>
                  <w:b w:val="0"/>
                  <w:bCs w:val="0"/>
                  <w:i w:val="0"/>
                  <w:iCs w:val="0"/>
                  <w:caps w:val="0"/>
                  <w:smallCaps w:val="0"/>
                  <w:noProof w:val="0"/>
                  <w:sz w:val="24"/>
                  <w:szCs w:val="24"/>
                  <w:lang w:val="en-GB"/>
                </w:rPr>
                <w:t>https://www.gypsy-traveller.org/wp-content/uploads/2022/11/Briefing_Health-inequalities-experienced-by-Gypsies-and-Travellers-in-England.pdf</w:t>
              </w:r>
            </w:hyperlink>
            <w:r w:rsidRPr="7C85FA3B" w:rsidR="18BE76D4">
              <w:rPr>
                <w:rFonts w:ascii="Arial" w:hAnsi="Arial" w:eastAsia="Arial" w:cs="Arial"/>
                <w:b w:val="0"/>
                <w:bCs w:val="0"/>
                <w:i w:val="0"/>
                <w:iCs w:val="0"/>
                <w:caps w:val="0"/>
                <w:smallCaps w:val="0"/>
                <w:noProof w:val="0"/>
                <w:color w:val="000000" w:themeColor="text1" w:themeTint="FF" w:themeShade="FF"/>
                <w:sz w:val="24"/>
                <w:szCs w:val="24"/>
                <w:lang w:val="en-GB"/>
              </w:rPr>
              <w:t>.</w:t>
            </w:r>
            <w:r w:rsidRPr="7C85FA3B" w:rsidR="18BE76D4">
              <w:rPr>
                <w:rFonts w:ascii="Arial" w:hAnsi="Arial" w:eastAsia="Arial" w:cs="Arial"/>
                <w:b w:val="0"/>
                <w:bCs w:val="0"/>
                <w:i w:val="0"/>
                <w:iCs w:val="0"/>
                <w:caps w:val="0"/>
                <w:smallCaps w:val="0"/>
                <w:noProof w:val="0"/>
                <w:color w:val="242424"/>
                <w:sz w:val="24"/>
                <w:szCs w:val="24"/>
                <w:lang w:val="en-GB"/>
              </w:rPr>
              <w:t xml:space="preserve"> </w:t>
            </w:r>
            <w:r w:rsidRPr="7C85FA3B" w:rsidR="18BE76D4">
              <w:rPr>
                <w:rFonts w:ascii="Arial" w:hAnsi="Arial" w:eastAsia="Arial" w:cs="Arial"/>
                <w:b w:val="0"/>
                <w:bCs w:val="0"/>
                <w:i w:val="0"/>
                <w:iCs w:val="0"/>
                <w:caps w:val="0"/>
                <w:smallCaps w:val="0"/>
                <w:noProof w:val="0"/>
                <w:color w:val="000000" w:themeColor="text1" w:themeTint="FF" w:themeShade="FF"/>
                <w:sz w:val="24"/>
                <w:szCs w:val="24"/>
                <w:lang w:val="en-GB"/>
              </w:rPr>
              <w:t xml:space="preserve"> This is specifically relevant when it intersects with rare disease diagnosis/treatment/monitoring.</w:t>
            </w:r>
          </w:p>
          <w:p w:rsidRPr="00A51BD7" w:rsidR="008B5163" w:rsidP="7C85FA3B" w:rsidRDefault="00E0338D" w14:paraId="506BB483" w14:textId="1AC59F78">
            <w:pPr>
              <w:pStyle w:val="ListParagraph"/>
              <w:shd w:val="clear" w:color="auto" w:fill="FFFFFF" w:themeFill="background1"/>
              <w:spacing w:before="0" w:beforeAutospacing="off" w:after="0" w:afterAutospacing="off"/>
              <w:ind w:left="720"/>
              <w:rPr>
                <w:rFonts w:ascii="Aptos" w:hAnsi="Aptos" w:eastAsia="Aptos" w:cs="Aptos"/>
                <w:b w:val="0"/>
                <w:bCs w:val="0"/>
                <w:i w:val="0"/>
                <w:iCs w:val="0"/>
                <w:caps w:val="0"/>
                <w:smallCaps w:val="0"/>
                <w:noProof w:val="0"/>
                <w:color w:val="000000" w:themeColor="text1" w:themeTint="FF" w:themeShade="FF"/>
                <w:sz w:val="24"/>
                <w:szCs w:val="24"/>
                <w:lang w:val="en-GB"/>
              </w:rPr>
            </w:pPr>
          </w:p>
          <w:p w:rsidRPr="00A51BD7" w:rsidR="008B5163" w:rsidP="006B2A6A" w:rsidRDefault="00E0338D" w14:paraId="6AB27DE9" w14:textId="4881D389">
            <w:pPr>
              <w:pStyle w:val="Paragraphnonumbers"/>
              <w:spacing w:after="0"/>
              <w:rPr>
                <w:rFonts w:cs="Arial"/>
              </w:rPr>
            </w:pPr>
            <w:r w:rsidRPr="7C85FA3B" w:rsidR="00E0338D">
              <w:rPr>
                <w:rFonts w:cs="Arial"/>
              </w:rPr>
              <w:t xml:space="preserve">The </w:t>
            </w:r>
            <w:r w:rsidRPr="7C85FA3B" w:rsidR="00E0338D">
              <w:rPr>
                <w:rFonts w:cs="Arial"/>
              </w:rPr>
              <w:t xml:space="preserve">quality standard would </w:t>
            </w:r>
            <w:r w:rsidRPr="7C85FA3B" w:rsidR="1BB78DC5">
              <w:rPr>
                <w:rFonts w:cs="Arial"/>
              </w:rPr>
              <w:t xml:space="preserve">also </w:t>
            </w:r>
            <w:r w:rsidRPr="7C85FA3B" w:rsidR="00E0338D">
              <w:rPr>
                <w:rFonts w:cs="Arial"/>
              </w:rPr>
              <w:t xml:space="preserve">be improved by explicitly recognising that people living with rare diseases experience health inequality </w:t>
            </w:r>
            <w:r w:rsidRPr="7C85FA3B" w:rsidR="00E0338D">
              <w:rPr>
                <w:rFonts w:cs="Arial"/>
              </w:rPr>
              <w:t>as a result of</w:t>
            </w:r>
            <w:r w:rsidRPr="7C85FA3B" w:rsidR="00E0338D">
              <w:rPr>
                <w:rFonts w:cs="Arial"/>
              </w:rPr>
              <w:t xml:space="preserve"> the rarity of their condition, including delayed diagnosis, limited clinical </w:t>
            </w:r>
            <w:r w:rsidRPr="7C85FA3B" w:rsidR="00E0338D">
              <w:rPr>
                <w:rFonts w:cs="Arial"/>
              </w:rPr>
              <w:t>expertise</w:t>
            </w:r>
            <w:r w:rsidRPr="7C85FA3B" w:rsidR="00E0338D">
              <w:rPr>
                <w:rFonts w:cs="Arial"/>
              </w:rPr>
              <w:t>, fragmented care and reduced access to treatments and research. This issue is increasingly well evidenced and widely acknowledged across the rare disease community</w:t>
            </w:r>
            <w:r w:rsidRPr="7C85FA3B" w:rsidR="00E7656C">
              <w:rPr>
                <w:rFonts w:cs="Arial"/>
              </w:rPr>
              <w:t xml:space="preserve">. Two resources to consider are: </w:t>
            </w:r>
            <w:hyperlink w:anchor=":~:text=Because%20rare%20diseases%20are%20rare,a%20self%2Dperpetuating%20invisibility%20cycle" r:id="R838f233b0e754286">
              <w:r w:rsidRPr="7C85FA3B" w:rsidR="006558D2">
                <w:rPr>
                  <w:rStyle w:val="Hyperlink"/>
                  <w:rFonts w:cs="Arial"/>
                </w:rPr>
                <w:t>Seeing Is Believing: Invisibility Exacerbates Inequality for Patients Living with Rare Disease - European Medical Journal</w:t>
              </w:r>
            </w:hyperlink>
            <w:r w:rsidRPr="7C85FA3B" w:rsidR="006558D2">
              <w:rPr>
                <w:rFonts w:cs="Arial"/>
              </w:rPr>
              <w:t xml:space="preserve">; </w:t>
            </w:r>
            <w:hyperlink w:anchor=":~:text=The%20SHCA%20has%20produced%20a,across%20the%20rare%20disease%20community" r:id="Rfa8d0b1a47ee4a16">
              <w:r w:rsidRPr="7C85FA3B" w:rsidR="006558D2">
                <w:rPr>
                  <w:rStyle w:val="Hyperlink"/>
                  <w:rFonts w:cs="Arial"/>
                </w:rPr>
                <w:t>SHCA publishes a new report on rare disease health inequalities - SHCA</w:t>
              </w:r>
            </w:hyperlink>
            <w:r w:rsidRPr="7C85FA3B" w:rsidR="006558D2">
              <w:rPr>
                <w:rFonts w:cs="Arial"/>
              </w:rPr>
              <w:t xml:space="preserve">. </w:t>
            </w:r>
            <w:r w:rsidRPr="7C85FA3B" w:rsidR="007C3F1A">
              <w:rPr>
                <w:rFonts w:cs="Arial"/>
              </w:rPr>
              <w:t>The significance of this issue is reflected in this year’s Rare Disease Day theme, which focuses on equality in recognition of the persistent health inequalities faced by people living with rare diseases.</w:t>
            </w:r>
          </w:p>
        </w:tc>
      </w:tr>
      <w:tr w:rsidRPr="00A51BD7" w:rsidR="006B2A6A" w:rsidTr="7C85FA3B" w14:paraId="615C8E81" w14:textId="77777777">
        <w:tc>
          <w:tcPr>
            <w:tcW w:w="1485" w:type="dxa"/>
            <w:tcMar/>
            <w:vAlign w:val="center"/>
          </w:tcPr>
          <w:p w:rsidRPr="00A51BD7" w:rsidR="006B2A6A" w:rsidP="006B2A6A" w:rsidRDefault="006B2A6A" w14:paraId="65E152F8" w14:textId="4F005D83">
            <w:pPr>
              <w:pStyle w:val="Paragraphnonumbers"/>
              <w:spacing w:after="0"/>
              <w:jc w:val="center"/>
              <w:rPr>
                <w:rFonts w:cs="Arial"/>
              </w:rPr>
            </w:pPr>
            <w:r w:rsidRPr="00A51BD7">
              <w:rPr>
                <w:rFonts w:cs="Arial"/>
              </w:rPr>
              <w:t>6</w:t>
            </w:r>
          </w:p>
        </w:tc>
        <w:tc>
          <w:tcPr>
            <w:tcW w:w="2338" w:type="dxa"/>
            <w:tcMar/>
          </w:tcPr>
          <w:p w:rsidRPr="00A51BD7" w:rsidR="006B2A6A" w:rsidP="00633706" w:rsidRDefault="006B2A6A" w14:paraId="72F8652D" w14:textId="591007FE">
            <w:pPr>
              <w:pStyle w:val="Paragraphnonumbers"/>
              <w:spacing w:after="0"/>
              <w:jc w:val="center"/>
              <w:rPr>
                <w:rFonts w:cs="Arial"/>
              </w:rPr>
            </w:pPr>
            <w:r w:rsidRPr="00180286">
              <w:rPr>
                <w:rFonts w:cs="Arial"/>
              </w:rPr>
              <w:t xml:space="preserve">Question </w:t>
            </w:r>
            <w:r>
              <w:rPr>
                <w:rFonts w:cs="Arial"/>
              </w:rPr>
              <w:t>5</w:t>
            </w:r>
          </w:p>
        </w:tc>
        <w:tc>
          <w:tcPr>
            <w:tcW w:w="11481" w:type="dxa"/>
            <w:tcMar/>
            <w:vAlign w:val="center"/>
          </w:tcPr>
          <w:p w:rsidR="007F4538" w:rsidP="00A447DC" w:rsidRDefault="007F4538" w14:paraId="24B2C10A" w14:textId="71399883">
            <w:pPr>
              <w:pStyle w:val="Paragraphnonumbers"/>
              <w:spacing w:after="0"/>
            </w:pPr>
            <w:r w:rsidRPr="7C85FA3B" w:rsidR="007F4538">
              <w:rPr>
                <w:rFonts w:cs="Arial"/>
              </w:rPr>
              <w:t xml:space="preserve">A key challenge in </w:t>
            </w:r>
            <w:r w:rsidRPr="7C85FA3B" w:rsidR="007F4538">
              <w:rPr>
                <w:rFonts w:cs="Arial"/>
              </w:rPr>
              <w:t xml:space="preserve">implementation </w:t>
            </w:r>
            <w:r w:rsidRPr="7C85FA3B" w:rsidR="007F4538">
              <w:rPr>
                <w:rFonts w:cs="Arial"/>
              </w:rPr>
              <w:t xml:space="preserve">is the lack of clarity on how </w:t>
            </w:r>
            <w:r w:rsidRPr="7C85FA3B" w:rsidR="007F4538">
              <w:rPr>
                <w:rFonts w:cs="Arial"/>
              </w:rPr>
              <w:t>progress</w:t>
            </w:r>
            <w:r w:rsidRPr="7C85FA3B" w:rsidR="007F4538">
              <w:rPr>
                <w:rFonts w:cs="Arial"/>
              </w:rPr>
              <w:t xml:space="preserve"> will be </w:t>
            </w:r>
            <w:r w:rsidRPr="7C85FA3B" w:rsidR="007F4538">
              <w:rPr>
                <w:rFonts w:cs="Arial"/>
              </w:rPr>
              <w:t>monitored</w:t>
            </w:r>
            <w:r w:rsidRPr="7C85FA3B" w:rsidR="007F4538">
              <w:rPr>
                <w:rFonts w:cs="Arial"/>
              </w:rPr>
              <w:t xml:space="preserve">. It is unclear whether there will be a national monitoring or </w:t>
            </w:r>
            <w:r w:rsidRPr="7C85FA3B" w:rsidR="00F876C3">
              <w:rPr>
                <w:rFonts w:cs="Arial"/>
              </w:rPr>
              <w:t xml:space="preserve">local </w:t>
            </w:r>
            <w:r w:rsidRPr="7C85FA3B" w:rsidR="007F4538">
              <w:rPr>
                <w:rFonts w:cs="Arial"/>
              </w:rPr>
              <w:t xml:space="preserve">reporting mechanism, who will </w:t>
            </w:r>
            <w:r w:rsidRPr="7C85FA3B" w:rsidR="007F4538">
              <w:rPr>
                <w:rFonts w:cs="Arial"/>
              </w:rPr>
              <w:t>be responsible for</w:t>
            </w:r>
            <w:r w:rsidRPr="7C85FA3B" w:rsidR="007F4538">
              <w:rPr>
                <w:rFonts w:cs="Arial"/>
              </w:rPr>
              <w:t xml:space="preserve"> oversight and how </w:t>
            </w:r>
            <w:r w:rsidRPr="7C85FA3B" w:rsidR="007F4538">
              <w:rPr>
                <w:rFonts w:cs="Arial"/>
              </w:rPr>
              <w:t>frequently</w:t>
            </w:r>
            <w:r w:rsidRPr="7C85FA3B" w:rsidR="007F4538">
              <w:rPr>
                <w:rFonts w:cs="Arial"/>
              </w:rPr>
              <w:t xml:space="preserve"> progress will be reviewed. </w:t>
            </w:r>
            <w:r w:rsidRPr="7C85FA3B" w:rsidR="00061780">
              <w:rPr>
                <w:rFonts w:cs="Arial"/>
              </w:rPr>
              <w:t xml:space="preserve">Monitoring will need to reflect the specific needs of the </w:t>
            </w:r>
            <w:r w:rsidRPr="7C85FA3B" w:rsidR="0069590C">
              <w:rPr>
                <w:rFonts w:cs="Arial"/>
              </w:rPr>
              <w:t xml:space="preserve">various rare diseases, and it is important to note that it will differ from </w:t>
            </w:r>
            <w:r w:rsidRPr="7C85FA3B" w:rsidR="0069590C">
              <w:rPr>
                <w:rFonts w:cs="Arial"/>
              </w:rPr>
              <w:t>previous</w:t>
            </w:r>
            <w:r w:rsidRPr="7C85FA3B" w:rsidR="0069590C">
              <w:rPr>
                <w:rFonts w:cs="Arial"/>
              </w:rPr>
              <w:t xml:space="preserve"> quality standards of individual disease areas.</w:t>
            </w:r>
            <w:r w:rsidRPr="7C85FA3B" w:rsidR="291832A8">
              <w:rPr>
                <w:rFonts w:cs="Arial"/>
              </w:rPr>
              <w:t xml:space="preserve"> Importantly, monitoring must include formal input from patients and families alongside other stakeholders, recognising "softer" outcomes and qualitative improvements. As with all monitoring, this should not be a purely technical box-ticking exercise but a mechanism to provide feedback and effect real positive change.</w:t>
            </w:r>
          </w:p>
          <w:p w:rsidRPr="007F4538" w:rsidR="00A447DC" w:rsidP="00A447DC" w:rsidRDefault="00A447DC" w14:paraId="249C97EA" w14:textId="77777777">
            <w:pPr>
              <w:pStyle w:val="Paragraphnonumbers"/>
              <w:spacing w:after="0"/>
              <w:rPr>
                <w:rFonts w:cs="Arial"/>
              </w:rPr>
            </w:pPr>
          </w:p>
          <w:p w:rsidRPr="00A51BD7" w:rsidR="006B2A6A" w:rsidP="006B2A6A" w:rsidRDefault="007F4538" w14:paraId="3E4E6A9B" w14:textId="1835B913">
            <w:pPr>
              <w:pStyle w:val="Paragraphnonumbers"/>
              <w:spacing w:after="0"/>
              <w:rPr>
                <w:rFonts w:cs="Arial"/>
              </w:rPr>
            </w:pPr>
            <w:r w:rsidRPr="007F4538">
              <w:rPr>
                <w:rFonts w:cs="Arial"/>
              </w:rPr>
              <w:t xml:space="preserve">Another major challenge relates to </w:t>
            </w:r>
            <w:r w:rsidR="00A447DC">
              <w:rPr>
                <w:rFonts w:cs="Arial"/>
              </w:rPr>
              <w:t xml:space="preserve">the </w:t>
            </w:r>
            <w:r w:rsidRPr="007F4538">
              <w:rPr>
                <w:rFonts w:cs="Arial"/>
              </w:rPr>
              <w:t xml:space="preserve">communication and education of healthcare professionals. There is no single point of entry into the rare disease pathway, and routes to specialised care can begin anywhere in the system, including primary care, emergency settings or multiple secondary </w:t>
            </w:r>
            <w:r w:rsidR="001E208F">
              <w:rPr>
                <w:rFonts w:cs="Arial"/>
              </w:rPr>
              <w:t>specialities</w:t>
            </w:r>
            <w:r w:rsidR="00A447DC">
              <w:rPr>
                <w:rFonts w:cs="Arial"/>
              </w:rPr>
              <w:t>, depending on presentation</w:t>
            </w:r>
            <w:r w:rsidR="001E208F">
              <w:rPr>
                <w:rFonts w:cs="Arial"/>
              </w:rPr>
              <w:t xml:space="preserve">. Application of these quality standards needs to be universally applied, with all healthcare </w:t>
            </w:r>
            <w:r w:rsidR="001E208F">
              <w:rPr>
                <w:rFonts w:cs="Arial"/>
              </w:rPr>
              <w:lastRenderedPageBreak/>
              <w:t xml:space="preserve">professionals being supported to meet their ambition. </w:t>
            </w:r>
            <w:r w:rsidRPr="007F4538">
              <w:rPr>
                <w:rFonts w:cs="Arial"/>
              </w:rPr>
              <w:t xml:space="preserve">Without a coordinated approach to education, supported by national direction and </w:t>
            </w:r>
            <w:r w:rsidR="001E208F">
              <w:rPr>
                <w:rFonts w:cs="Arial"/>
              </w:rPr>
              <w:t xml:space="preserve">local </w:t>
            </w:r>
            <w:r w:rsidRPr="007F4538">
              <w:rPr>
                <w:rFonts w:cs="Arial"/>
              </w:rPr>
              <w:t xml:space="preserve">practical resources, implementation risks being </w:t>
            </w:r>
            <w:r w:rsidR="001E208F">
              <w:rPr>
                <w:rFonts w:cs="Arial"/>
              </w:rPr>
              <w:t>inconsistent</w:t>
            </w:r>
            <w:r w:rsidRPr="007F4538">
              <w:rPr>
                <w:rFonts w:cs="Arial"/>
              </w:rPr>
              <w:t xml:space="preserve"> and dependent on individual awareness rather than system-wide change.</w:t>
            </w:r>
          </w:p>
        </w:tc>
      </w:tr>
      <w:tr w:rsidRPr="00A51BD7" w:rsidR="006B2A6A" w:rsidTr="7C85FA3B" w14:paraId="3C6A763B" w14:textId="77777777">
        <w:tc>
          <w:tcPr>
            <w:tcW w:w="1485" w:type="dxa"/>
            <w:tcMar/>
            <w:vAlign w:val="center"/>
          </w:tcPr>
          <w:p w:rsidRPr="00A51BD7" w:rsidR="006B2A6A" w:rsidP="008B4D06" w:rsidRDefault="006B2A6A" w14:paraId="68ED7081" w14:textId="4F5CF305">
            <w:pPr>
              <w:pStyle w:val="Paragraphnonumbers"/>
              <w:spacing w:after="0"/>
              <w:jc w:val="center"/>
              <w:rPr>
                <w:rFonts w:cs="Arial"/>
              </w:rPr>
            </w:pPr>
            <w:r>
              <w:rPr>
                <w:rFonts w:cs="Arial"/>
              </w:rPr>
              <w:lastRenderedPageBreak/>
              <w:t>7</w:t>
            </w:r>
          </w:p>
        </w:tc>
        <w:tc>
          <w:tcPr>
            <w:tcW w:w="2338" w:type="dxa"/>
            <w:tcMar/>
          </w:tcPr>
          <w:p w:rsidR="006B2A6A" w:rsidP="00633706" w:rsidRDefault="006B2A6A" w14:paraId="7801E2E5" w14:textId="69B3E41E">
            <w:pPr>
              <w:pStyle w:val="Paragraphnonumbers"/>
              <w:spacing w:after="0"/>
              <w:jc w:val="center"/>
              <w:rPr>
                <w:rFonts w:cs="Arial"/>
              </w:rPr>
            </w:pPr>
            <w:r>
              <w:rPr>
                <w:rFonts w:cs="Arial"/>
              </w:rPr>
              <w:t>Statement 1</w:t>
            </w:r>
          </w:p>
        </w:tc>
        <w:tc>
          <w:tcPr>
            <w:tcW w:w="11481" w:type="dxa"/>
            <w:tcMar/>
            <w:vAlign w:val="center"/>
          </w:tcPr>
          <w:p w:rsidR="00671954" w:rsidP="00671954" w:rsidRDefault="00671954" w14:paraId="2488F4F8" w14:textId="77777777">
            <w:pPr>
              <w:pStyle w:val="Paragraphnonumbers"/>
              <w:spacing w:after="0"/>
              <w:rPr>
                <w:rFonts w:cs="Arial"/>
              </w:rPr>
            </w:pPr>
            <w:r w:rsidRPr="00671954">
              <w:rPr>
                <w:rFonts w:cs="Arial"/>
              </w:rPr>
              <w:t>The wording of this statement is unclear and does not read easily as written, suggesting that a word or clarification may be missing. While the definition of terms later in the document explains what is meant by “first definitive treatment” and “other clock stop”, this is a public-facing quality standard and the statement itself should be understandable without needing to cross-reference definitions.</w:t>
            </w:r>
          </w:p>
          <w:p w:rsidRPr="00671954" w:rsidR="00671954" w:rsidP="00671954" w:rsidRDefault="00671954" w14:paraId="171882E2" w14:textId="77777777">
            <w:pPr>
              <w:pStyle w:val="Paragraphnonumbers"/>
              <w:spacing w:after="0"/>
              <w:rPr>
                <w:rFonts w:cs="Arial"/>
              </w:rPr>
            </w:pPr>
          </w:p>
          <w:p w:rsidR="00671954" w:rsidP="00671954" w:rsidRDefault="00671954" w14:paraId="352A81DF" w14:textId="77777777">
            <w:pPr>
              <w:pStyle w:val="Paragraphnonumbers"/>
              <w:spacing w:after="0"/>
              <w:rPr>
                <w:rFonts w:cs="Arial"/>
              </w:rPr>
            </w:pPr>
            <w:r w:rsidRPr="00671954">
              <w:rPr>
                <w:rFonts w:cs="Arial"/>
              </w:rPr>
              <w:t>There is also a lack of clarity about how national maximum waiting times should be applied in practice, given that many rare diseases do not have established pathways, guidelines or clearly defined diagnostic routes. Without this, it is difficult to understand how services are expected to operationalise the statement consistently.</w:t>
            </w:r>
          </w:p>
          <w:p w:rsidRPr="00671954" w:rsidR="00671954" w:rsidP="00671954" w:rsidRDefault="00671954" w14:paraId="201BB84A" w14:textId="77777777">
            <w:pPr>
              <w:pStyle w:val="Paragraphnonumbers"/>
              <w:spacing w:after="0"/>
              <w:rPr>
                <w:rFonts w:cs="Arial"/>
              </w:rPr>
            </w:pPr>
          </w:p>
          <w:p w:rsidR="00CA5CBA" w:rsidP="00EB5CCC" w:rsidRDefault="00671954" w14:paraId="1C4E409C" w14:textId="29E2EF18">
            <w:pPr>
              <w:pStyle w:val="Paragraphnonumbers"/>
              <w:spacing w:after="0"/>
              <w:rPr>
                <w:rFonts w:cs="Arial"/>
              </w:rPr>
            </w:pPr>
            <w:r w:rsidRPr="00671954">
              <w:rPr>
                <w:rFonts w:cs="Arial"/>
              </w:rPr>
              <w:t>We remain concerned about the use of the term “definitive treatment” in the context of rare disease. Misdiagnosis is common, and premature treatment based on an incorrect or incomplete diagnosis can cause harm. For example, in conditions such as tuberous sclerosis complex, focusing on the most obvious presenting symptom and treating it as a standalone diagnosis can delay correct diagnosis and lead to inappropriate management.</w:t>
            </w:r>
            <w:r w:rsidR="00D42483">
              <w:rPr>
                <w:rFonts w:cs="Arial"/>
              </w:rPr>
              <w:t xml:space="preserve"> </w:t>
            </w:r>
            <w:r w:rsidRPr="00671954">
              <w:rPr>
                <w:rFonts w:cs="Arial"/>
              </w:rPr>
              <w:t xml:space="preserve">In addition, not all rare diseases are genetic, and whole genome sequencing cannot be relied upon as a definitive diagnostic test in all cases. </w:t>
            </w:r>
          </w:p>
          <w:p w:rsidR="00CA5CBA" w:rsidP="00EB5CCC" w:rsidRDefault="00CA5CBA" w14:paraId="110F84E5" w14:textId="77777777">
            <w:pPr>
              <w:pStyle w:val="Paragraphnonumbers"/>
              <w:spacing w:after="0"/>
              <w:rPr>
                <w:rFonts w:cs="Arial"/>
              </w:rPr>
            </w:pPr>
          </w:p>
          <w:p w:rsidRPr="00A51BD7" w:rsidR="006B2A6A" w:rsidP="00EB5CCC" w:rsidRDefault="00EB5CCC" w14:paraId="7B6A69D1" w14:textId="011155A6">
            <w:pPr>
              <w:pStyle w:val="Paragraphnonumbers"/>
              <w:spacing w:after="0"/>
              <w:rPr>
                <w:rFonts w:cs="Arial"/>
              </w:rPr>
            </w:pPr>
            <w:r>
              <w:rPr>
                <w:rFonts w:cs="Arial"/>
              </w:rPr>
              <w:t>While we agree with the rationale, t</w:t>
            </w:r>
            <w:r w:rsidRPr="00671954" w:rsidR="00671954">
              <w:rPr>
                <w:rFonts w:cs="Arial"/>
              </w:rPr>
              <w:t>he statement would benefit from greater emphasis on diagnostic accuracy, review and caution against early closure, rather than implying a linear progression to “definitive” treatment that may not reflect real-world rare disease pathways.</w:t>
            </w:r>
          </w:p>
        </w:tc>
      </w:tr>
      <w:tr w:rsidRPr="00A51BD7" w:rsidR="006B2A6A" w:rsidTr="7C85FA3B" w14:paraId="44E5347D" w14:textId="77777777">
        <w:tc>
          <w:tcPr>
            <w:tcW w:w="1485" w:type="dxa"/>
            <w:tcMar/>
            <w:vAlign w:val="center"/>
          </w:tcPr>
          <w:p w:rsidRPr="00A51BD7" w:rsidR="006B2A6A" w:rsidP="006B2A6A" w:rsidRDefault="006B2A6A" w14:paraId="16561692" w14:textId="3BE3D4E4">
            <w:pPr>
              <w:pStyle w:val="Paragraphnonumbers"/>
              <w:spacing w:after="0"/>
              <w:jc w:val="center"/>
              <w:rPr>
                <w:rFonts w:cs="Arial"/>
              </w:rPr>
            </w:pPr>
            <w:r>
              <w:rPr>
                <w:rFonts w:cs="Arial"/>
              </w:rPr>
              <w:t>8</w:t>
            </w:r>
          </w:p>
        </w:tc>
        <w:tc>
          <w:tcPr>
            <w:tcW w:w="2338" w:type="dxa"/>
            <w:tcMar/>
          </w:tcPr>
          <w:p w:rsidR="006B2A6A" w:rsidP="00633706" w:rsidRDefault="006B2A6A" w14:paraId="7FACA731" w14:textId="344CC39D">
            <w:pPr>
              <w:pStyle w:val="Paragraphnonumbers"/>
              <w:spacing w:after="0"/>
              <w:jc w:val="center"/>
              <w:rPr>
                <w:rFonts w:cs="Arial"/>
              </w:rPr>
            </w:pPr>
            <w:r w:rsidRPr="00384A15">
              <w:rPr>
                <w:rFonts w:cs="Arial"/>
              </w:rPr>
              <w:t xml:space="preserve">Statement </w:t>
            </w:r>
            <w:r>
              <w:rPr>
                <w:rFonts w:cs="Arial"/>
              </w:rPr>
              <w:t>2</w:t>
            </w:r>
          </w:p>
        </w:tc>
        <w:tc>
          <w:tcPr>
            <w:tcW w:w="11481" w:type="dxa"/>
            <w:tcMar/>
            <w:vAlign w:val="center"/>
          </w:tcPr>
          <w:p w:rsidRPr="00A51BD7" w:rsidR="006B2A6A" w:rsidP="006B2A6A" w:rsidRDefault="00E84E14" w14:paraId="1D96FFEF" w14:textId="081EAAE9">
            <w:pPr>
              <w:pStyle w:val="Paragraphnonumbers"/>
              <w:spacing w:after="0"/>
              <w:rPr>
                <w:rFonts w:cs="Arial"/>
              </w:rPr>
            </w:pPr>
            <w:r w:rsidRPr="00E84E14">
              <w:rPr>
                <w:rFonts w:cs="Arial"/>
              </w:rPr>
              <w:t>The statement would be strengthened by explicitly recognising that a care pathway to support future diagnosis could, where appropriate, include research. Making this explicit would better reflect the realities of rare disease care and help ensure that people are consistently informed about, and supported to access, appropriate research opportunities as part of their ongoing diagnostic journey.</w:t>
            </w:r>
          </w:p>
        </w:tc>
      </w:tr>
      <w:tr w:rsidRPr="00A51BD7" w:rsidR="006B2A6A" w:rsidTr="7C85FA3B" w14:paraId="6696F8C7" w14:textId="77777777">
        <w:tc>
          <w:tcPr>
            <w:tcW w:w="1485" w:type="dxa"/>
            <w:tcMar/>
            <w:vAlign w:val="center"/>
          </w:tcPr>
          <w:p w:rsidRPr="00A51BD7" w:rsidR="006B2A6A" w:rsidP="006B2A6A" w:rsidRDefault="006B2A6A" w14:paraId="673417B1" w14:textId="2E6B1302">
            <w:pPr>
              <w:pStyle w:val="Paragraphnonumbers"/>
              <w:spacing w:after="0"/>
              <w:jc w:val="center"/>
              <w:rPr>
                <w:rFonts w:cs="Arial"/>
              </w:rPr>
            </w:pPr>
            <w:r>
              <w:rPr>
                <w:rFonts w:cs="Arial"/>
              </w:rPr>
              <w:t>9</w:t>
            </w:r>
          </w:p>
        </w:tc>
        <w:tc>
          <w:tcPr>
            <w:tcW w:w="2338" w:type="dxa"/>
            <w:tcMar/>
          </w:tcPr>
          <w:p w:rsidR="006B2A6A" w:rsidP="00633706" w:rsidRDefault="006B2A6A" w14:paraId="547DD61D" w14:textId="12BF8DA4">
            <w:pPr>
              <w:pStyle w:val="Paragraphnonumbers"/>
              <w:spacing w:after="0"/>
              <w:jc w:val="center"/>
              <w:rPr>
                <w:rFonts w:cs="Arial"/>
              </w:rPr>
            </w:pPr>
            <w:r w:rsidRPr="00384A15">
              <w:rPr>
                <w:rFonts w:cs="Arial"/>
              </w:rPr>
              <w:t xml:space="preserve">Statement </w:t>
            </w:r>
            <w:r>
              <w:rPr>
                <w:rFonts w:cs="Arial"/>
              </w:rPr>
              <w:t>3</w:t>
            </w:r>
          </w:p>
        </w:tc>
        <w:tc>
          <w:tcPr>
            <w:tcW w:w="11481" w:type="dxa"/>
            <w:tcMar/>
            <w:vAlign w:val="center"/>
          </w:tcPr>
          <w:p w:rsidRPr="00A51BD7" w:rsidR="006B2A6A" w:rsidP="006B2A6A" w:rsidRDefault="001C75A5" w14:paraId="7A8BF730" w14:textId="7087920E">
            <w:pPr>
              <w:pStyle w:val="Paragraphnonumbers"/>
              <w:spacing w:after="0"/>
              <w:rPr>
                <w:rFonts w:cs="Arial"/>
              </w:rPr>
            </w:pPr>
            <w:r w:rsidRPr="001C75A5">
              <w:rPr>
                <w:rFonts w:cs="Arial"/>
              </w:rPr>
              <w:t xml:space="preserve">We agree with the intent of this </w:t>
            </w:r>
            <w:r w:rsidRPr="001C75A5" w:rsidR="008B54C6">
              <w:rPr>
                <w:rFonts w:cs="Arial"/>
              </w:rPr>
              <w:t>statement but</w:t>
            </w:r>
            <w:r w:rsidRPr="001C75A5">
              <w:rPr>
                <w:rFonts w:cs="Arial"/>
              </w:rPr>
              <w:t xml:space="preserve"> have concerns about reliance on PIF TICK–accredited sources alone. For people living with ultra-rare conditions, relevant patient organisations are often small and reflect the size of the patient population. The PIF TICK process can be cost-prohibitive and time-consuming for these organisations, meaning they may not be accredited despite providing high-quality, trusted and highly specialised support. Limiting signposting to PIF TICK–accredited organisations risks </w:t>
            </w:r>
            <w:r w:rsidRPr="001C75A5">
              <w:rPr>
                <w:rFonts w:cs="Arial"/>
              </w:rPr>
              <w:lastRenderedPageBreak/>
              <w:t>excluding people with ultra-rare conditions from accessing appropriate information and support. The statement would benefit from a more flexible approach that recognises and values credible, patient-led organisations beyond formal accreditation schemes.</w:t>
            </w:r>
          </w:p>
        </w:tc>
      </w:tr>
      <w:tr w:rsidRPr="00A51BD7" w:rsidR="006B2A6A" w:rsidTr="7C85FA3B" w14:paraId="7E436BE4" w14:textId="77777777">
        <w:tc>
          <w:tcPr>
            <w:tcW w:w="1485" w:type="dxa"/>
            <w:tcMar/>
            <w:vAlign w:val="center"/>
          </w:tcPr>
          <w:p w:rsidRPr="00A51BD7" w:rsidR="006B2A6A" w:rsidP="006B2A6A" w:rsidRDefault="006B2A6A" w14:paraId="701BAC46" w14:textId="0DCEAF0D">
            <w:pPr>
              <w:pStyle w:val="Paragraphnonumbers"/>
              <w:spacing w:after="0"/>
              <w:jc w:val="center"/>
              <w:rPr>
                <w:rFonts w:cs="Arial"/>
              </w:rPr>
            </w:pPr>
            <w:r>
              <w:rPr>
                <w:rFonts w:cs="Arial"/>
              </w:rPr>
              <w:lastRenderedPageBreak/>
              <w:t>10</w:t>
            </w:r>
          </w:p>
        </w:tc>
        <w:tc>
          <w:tcPr>
            <w:tcW w:w="2338" w:type="dxa"/>
            <w:tcMar/>
          </w:tcPr>
          <w:p w:rsidR="006B2A6A" w:rsidP="00633706" w:rsidRDefault="006B2A6A" w14:paraId="70ACDC55" w14:textId="59A4C819">
            <w:pPr>
              <w:pStyle w:val="Paragraphnonumbers"/>
              <w:spacing w:after="0"/>
              <w:jc w:val="center"/>
              <w:rPr>
                <w:rFonts w:cs="Arial"/>
              </w:rPr>
            </w:pPr>
            <w:r w:rsidRPr="00384A15">
              <w:rPr>
                <w:rFonts w:cs="Arial"/>
              </w:rPr>
              <w:t xml:space="preserve">Statement </w:t>
            </w:r>
            <w:r>
              <w:rPr>
                <w:rFonts w:cs="Arial"/>
              </w:rPr>
              <w:t>4</w:t>
            </w:r>
          </w:p>
        </w:tc>
        <w:tc>
          <w:tcPr>
            <w:tcW w:w="11481" w:type="dxa"/>
            <w:tcMar/>
            <w:vAlign w:val="center"/>
          </w:tcPr>
          <w:p w:rsidRPr="00A51BD7" w:rsidR="006B2A6A" w:rsidP="006B2A6A" w:rsidRDefault="00D42483" w14:paraId="328DA017" w14:textId="0D6A85E9">
            <w:pPr>
              <w:pStyle w:val="Paragraphnonumbers"/>
              <w:spacing w:after="0"/>
              <w:rPr>
                <w:rFonts w:cs="Arial"/>
              </w:rPr>
            </w:pPr>
            <w:r w:rsidRPr="00D42483">
              <w:rPr>
                <w:rFonts w:cs="Arial"/>
              </w:rPr>
              <w:t>We agree fully with this statement and have no additional comments.</w:t>
            </w:r>
          </w:p>
        </w:tc>
      </w:tr>
      <w:tr w:rsidRPr="00A51BD7" w:rsidR="006B2A6A" w:rsidTr="7C85FA3B" w14:paraId="70C485CA" w14:textId="77777777">
        <w:tc>
          <w:tcPr>
            <w:tcW w:w="1485" w:type="dxa"/>
            <w:tcMar/>
            <w:vAlign w:val="center"/>
          </w:tcPr>
          <w:p w:rsidRPr="00A51BD7" w:rsidR="006B2A6A" w:rsidP="006B2A6A" w:rsidRDefault="006B2A6A" w14:paraId="1326A7AE" w14:textId="1BC7483A">
            <w:pPr>
              <w:pStyle w:val="Paragraphnonumbers"/>
              <w:spacing w:after="0"/>
              <w:jc w:val="center"/>
              <w:rPr>
                <w:rFonts w:cs="Arial"/>
              </w:rPr>
            </w:pPr>
            <w:r>
              <w:rPr>
                <w:rFonts w:cs="Arial"/>
              </w:rPr>
              <w:t>11</w:t>
            </w:r>
          </w:p>
        </w:tc>
        <w:tc>
          <w:tcPr>
            <w:tcW w:w="2338" w:type="dxa"/>
            <w:tcMar/>
          </w:tcPr>
          <w:p w:rsidR="006B2A6A" w:rsidP="00633706" w:rsidRDefault="006B2A6A" w14:paraId="4CFB8BE9" w14:textId="29F5A237">
            <w:pPr>
              <w:pStyle w:val="Paragraphnonumbers"/>
              <w:spacing w:after="0"/>
              <w:jc w:val="center"/>
              <w:rPr>
                <w:rFonts w:cs="Arial"/>
              </w:rPr>
            </w:pPr>
            <w:r w:rsidRPr="009A65B5">
              <w:rPr>
                <w:rFonts w:cs="Arial"/>
              </w:rPr>
              <w:t>Statement</w:t>
            </w:r>
            <w:r w:rsidRPr="00384A15">
              <w:rPr>
                <w:rFonts w:cs="Arial"/>
              </w:rPr>
              <w:t xml:space="preserve"> </w:t>
            </w:r>
            <w:r>
              <w:rPr>
                <w:rFonts w:cs="Arial"/>
              </w:rPr>
              <w:t>5</w:t>
            </w:r>
          </w:p>
        </w:tc>
        <w:tc>
          <w:tcPr>
            <w:tcW w:w="11481" w:type="dxa"/>
            <w:tcMar/>
            <w:vAlign w:val="center"/>
          </w:tcPr>
          <w:p w:rsidRPr="00A51BD7" w:rsidR="006B2A6A" w:rsidP="006B2A6A" w:rsidRDefault="0087633D" w14:paraId="69335158" w14:textId="3FD19736">
            <w:pPr>
              <w:pStyle w:val="Paragraphnonumbers"/>
              <w:spacing w:after="0"/>
              <w:rPr>
                <w:rFonts w:cs="Arial"/>
              </w:rPr>
            </w:pPr>
            <w:r w:rsidRPr="0087633D">
              <w:rPr>
                <w:rFonts w:cs="Arial"/>
              </w:rPr>
              <w:t>We strongly support this statement. Its impact would be further strengthened if the role of the named healthcare professional explicitly included liaison with social services and other relevant agencies, for example</w:t>
            </w:r>
            <w:r w:rsidR="00DA6F75">
              <w:rPr>
                <w:rFonts w:cs="Arial"/>
              </w:rPr>
              <w:t>,</w:t>
            </w:r>
            <w:r w:rsidRPr="0087633D">
              <w:rPr>
                <w:rFonts w:cs="Arial"/>
              </w:rPr>
              <w:t xml:space="preserve"> around aids, adaptations, practical support and education, health and care plans (EHCPs). This would help reduce the burden on individuals and families of repeatedly retelling their story and improve coordination </w:t>
            </w:r>
            <w:r w:rsidR="00DA6F75">
              <w:rPr>
                <w:rFonts w:cs="Arial"/>
              </w:rPr>
              <w:t>across systems.</w:t>
            </w:r>
          </w:p>
        </w:tc>
      </w:tr>
      <w:tr w:rsidRPr="00A51BD7" w:rsidR="006B2A6A" w:rsidTr="7C85FA3B" w14:paraId="3C5220B9" w14:textId="77777777">
        <w:tc>
          <w:tcPr>
            <w:tcW w:w="1485" w:type="dxa"/>
            <w:tcMar/>
            <w:vAlign w:val="center"/>
          </w:tcPr>
          <w:p w:rsidRPr="00A51BD7" w:rsidR="006B2A6A" w:rsidP="008B4D06" w:rsidRDefault="002A0662" w14:paraId="724CA2F5" w14:textId="48205C0E">
            <w:pPr>
              <w:pStyle w:val="Paragraphnonumbers"/>
              <w:spacing w:after="0"/>
              <w:jc w:val="center"/>
              <w:rPr>
                <w:rFonts w:cs="Arial"/>
              </w:rPr>
            </w:pPr>
            <w:r>
              <w:rPr>
                <w:rFonts w:cs="Arial"/>
              </w:rPr>
              <w:t>12</w:t>
            </w:r>
          </w:p>
        </w:tc>
        <w:tc>
          <w:tcPr>
            <w:tcW w:w="2338" w:type="dxa"/>
            <w:tcMar/>
          </w:tcPr>
          <w:p w:rsidR="006B2A6A" w:rsidP="008B4D06" w:rsidRDefault="002A0662" w14:paraId="01147B08" w14:textId="320CD452">
            <w:pPr>
              <w:pStyle w:val="Paragraphnonumbers"/>
              <w:spacing w:after="0"/>
              <w:rPr>
                <w:rFonts w:cs="Arial"/>
              </w:rPr>
            </w:pPr>
            <w:r>
              <w:rPr>
                <w:rFonts w:cs="Arial"/>
              </w:rPr>
              <w:t>Statement 6</w:t>
            </w:r>
          </w:p>
        </w:tc>
        <w:tc>
          <w:tcPr>
            <w:tcW w:w="11481" w:type="dxa"/>
            <w:tcMar/>
            <w:vAlign w:val="center"/>
          </w:tcPr>
          <w:p w:rsidRPr="00A51BD7" w:rsidR="006B2A6A" w:rsidP="008B4D06" w:rsidRDefault="00A66E6B" w14:paraId="09C09649" w14:textId="4B8B5410">
            <w:pPr>
              <w:pStyle w:val="Paragraphnonumbers"/>
              <w:spacing w:after="0"/>
              <w:rPr>
                <w:rFonts w:cs="Arial"/>
              </w:rPr>
            </w:pPr>
            <w:r w:rsidRPr="00A66E6B">
              <w:rPr>
                <w:rFonts w:cs="Arial"/>
              </w:rPr>
              <w:t>The statement would benefit from clarification on whether holistic care is intended to cover only the person living with a rare disease or also their immediate family. Many rare</w:t>
            </w:r>
            <w:r>
              <w:rPr>
                <w:rFonts w:cs="Arial"/>
              </w:rPr>
              <w:t xml:space="preserve"> genetic </w:t>
            </w:r>
            <w:r w:rsidRPr="00A66E6B">
              <w:rPr>
                <w:rFonts w:cs="Arial"/>
              </w:rPr>
              <w:t xml:space="preserve">conditions present in childhood, meaning parents or carers are responsible for </w:t>
            </w:r>
            <w:r>
              <w:rPr>
                <w:rFonts w:cs="Arial"/>
              </w:rPr>
              <w:t>decision-making</w:t>
            </w:r>
            <w:r w:rsidRPr="00A66E6B">
              <w:rPr>
                <w:rFonts w:cs="Arial"/>
              </w:rPr>
              <w:t xml:space="preserve"> and often experience significant psychological and emotional impact themselves. It should be made explicit that assessment and support extend to families and carers, where appropriate, to reflect the realities of rare disease care and avoid unmet support needs.</w:t>
            </w:r>
          </w:p>
        </w:tc>
      </w:tr>
      <w:tr w:rsidRPr="00A51BD7" w:rsidR="009A65B5" w:rsidTr="7C85FA3B" w14:paraId="7BF8A0CE" w14:textId="77777777">
        <w:tc>
          <w:tcPr>
            <w:tcW w:w="1485" w:type="dxa"/>
            <w:tcMar/>
            <w:vAlign w:val="center"/>
          </w:tcPr>
          <w:p w:rsidR="009A65B5" w:rsidP="008B4D06" w:rsidRDefault="009A65B5" w14:paraId="5400027D" w14:textId="3F5A808C">
            <w:pPr>
              <w:pStyle w:val="Paragraphnonumbers"/>
              <w:spacing w:after="0"/>
              <w:jc w:val="center"/>
              <w:rPr>
                <w:rFonts w:cs="Arial"/>
              </w:rPr>
            </w:pPr>
            <w:r>
              <w:rPr>
                <w:rFonts w:cs="Arial"/>
              </w:rPr>
              <w:t>13</w:t>
            </w:r>
          </w:p>
        </w:tc>
        <w:tc>
          <w:tcPr>
            <w:tcW w:w="2338" w:type="dxa"/>
            <w:tcMar/>
          </w:tcPr>
          <w:p w:rsidR="009A65B5" w:rsidP="008B4D06" w:rsidRDefault="009A65B5" w14:paraId="1F6C6774" w14:textId="01CB0B91">
            <w:pPr>
              <w:pStyle w:val="Paragraphnonumbers"/>
              <w:spacing w:after="0"/>
              <w:rPr>
                <w:rFonts w:cs="Arial"/>
              </w:rPr>
            </w:pPr>
            <w:r>
              <w:rPr>
                <w:rFonts w:cs="Arial"/>
              </w:rPr>
              <w:t>Statement 7</w:t>
            </w:r>
          </w:p>
        </w:tc>
        <w:tc>
          <w:tcPr>
            <w:tcW w:w="11481" w:type="dxa"/>
            <w:tcMar/>
            <w:vAlign w:val="center"/>
          </w:tcPr>
          <w:p w:rsidR="009A65B5" w:rsidP="008B4D06" w:rsidRDefault="00B24A3B" w14:paraId="1CC99227" w14:textId="353A557B">
            <w:pPr>
              <w:pStyle w:val="Paragraphnonumbers"/>
              <w:spacing w:after="0"/>
              <w:rPr>
                <w:rFonts w:cs="Arial"/>
              </w:rPr>
            </w:pPr>
            <w:r w:rsidRPr="00B24A3B">
              <w:rPr>
                <w:rFonts w:cs="Arial"/>
              </w:rPr>
              <w:t>We agree with this statement. However, we are concerned that the rapid pace of change in the availability of treatments and interventions for ultra-rare conditions means that awareness is not consistent across the healthcare system, an issue that has been reflected to us directly by healthcare professionals. Greater attention is needed on how information about newly available or recommended treatments is communicated clearly and consistently across all parts of the system. While monitoring uptake is important, further clarity is needed on how often this monitoring will take place, where results will be reported, the level at which data will be presented</w:t>
            </w:r>
            <w:r>
              <w:rPr>
                <w:rFonts w:cs="Arial"/>
              </w:rPr>
              <w:t xml:space="preserve">, </w:t>
            </w:r>
            <w:r w:rsidRPr="00B24A3B">
              <w:rPr>
                <w:rFonts w:cs="Arial"/>
              </w:rPr>
              <w:t>and who will be responsible for acting on the findings.</w:t>
            </w:r>
          </w:p>
        </w:tc>
      </w:tr>
      <w:tr w:rsidRPr="00A51BD7" w:rsidR="00CD23CF" w:rsidTr="7C85FA3B" w14:paraId="53914F81" w14:textId="77777777">
        <w:tc>
          <w:tcPr>
            <w:tcW w:w="1485" w:type="dxa"/>
            <w:tcMar/>
            <w:vAlign w:val="center"/>
          </w:tcPr>
          <w:p w:rsidR="00CD23CF" w:rsidP="008B4D06" w:rsidRDefault="00CD23CF" w14:paraId="58E1ABE3" w14:textId="126CC430">
            <w:pPr>
              <w:pStyle w:val="Paragraphnonumbers"/>
              <w:spacing w:after="0"/>
              <w:jc w:val="center"/>
              <w:rPr>
                <w:rFonts w:cs="Arial"/>
              </w:rPr>
            </w:pPr>
            <w:r>
              <w:rPr>
                <w:rFonts w:cs="Arial"/>
              </w:rPr>
              <w:t>14</w:t>
            </w:r>
          </w:p>
        </w:tc>
        <w:tc>
          <w:tcPr>
            <w:tcW w:w="2338" w:type="dxa"/>
            <w:tcMar/>
          </w:tcPr>
          <w:p w:rsidR="00CD23CF" w:rsidP="008B4D06" w:rsidRDefault="00CD23CF" w14:paraId="648C1714" w14:textId="212B8418">
            <w:pPr>
              <w:pStyle w:val="Paragraphnonumbers"/>
              <w:spacing w:after="0"/>
              <w:rPr>
                <w:rFonts w:cs="Arial"/>
              </w:rPr>
            </w:pPr>
            <w:r>
              <w:rPr>
                <w:rFonts w:cs="Arial"/>
              </w:rPr>
              <w:t>Statement 8</w:t>
            </w:r>
          </w:p>
        </w:tc>
        <w:tc>
          <w:tcPr>
            <w:tcW w:w="11481" w:type="dxa"/>
            <w:tcMar/>
            <w:vAlign w:val="center"/>
          </w:tcPr>
          <w:p w:rsidR="00A34C7A" w:rsidP="008B4D06" w:rsidRDefault="00843909" w14:paraId="6D5E3E84" w14:textId="12A6670C">
            <w:pPr>
              <w:pStyle w:val="Paragraphnonumbers"/>
              <w:spacing w:after="0"/>
              <w:rPr>
                <w:rFonts w:cs="Arial"/>
              </w:rPr>
            </w:pPr>
            <w:r w:rsidRPr="00843909">
              <w:rPr>
                <w:rFonts w:cs="Arial"/>
              </w:rPr>
              <w:t>The use of the term “care providers” in the rationale is potentially confusing and would benefit from clarification, as it could be interpreted as referring to family members or care workers rather than healthcare providers. Assuming the intention is to refer to healthcare providers, this should be stated explicitly for clarity. Otherwise, we agree with this statement.</w:t>
            </w:r>
          </w:p>
        </w:tc>
      </w:tr>
    </w:tbl>
    <w:p w:rsidRPr="00A51BD7" w:rsidR="00A51BD7" w:rsidP="00A51BD7" w:rsidRDefault="00A51BD7" w14:paraId="7760557B" w14:textId="16A1FE4F">
      <w:pPr>
        <w:pStyle w:val="Heading1"/>
        <w:rPr>
          <w:rFonts w:cs="Arial"/>
          <w:b w:val="0"/>
          <w:sz w:val="22"/>
        </w:rPr>
      </w:pPr>
      <w:r w:rsidRPr="00A51BD7">
        <w:rPr>
          <w:rFonts w:cs="Arial"/>
          <w:b w:val="0"/>
          <w:sz w:val="22"/>
        </w:rPr>
        <w:t>Insert more rows as needed</w:t>
      </w:r>
    </w:p>
    <w:p w:rsidRPr="005F370B" w:rsidR="00572C22" w:rsidP="00572C22" w:rsidRDefault="00572C22" w14:paraId="36D3CEAB" w14:textId="66201206">
      <w:pPr>
        <w:pStyle w:val="Heading1"/>
        <w:spacing w:before="240"/>
        <w:rPr>
          <w:rFonts w:cs="Arial"/>
        </w:rPr>
      </w:pPr>
      <w:r w:rsidRPr="005F370B">
        <w:rPr>
          <w:rFonts w:cs="Arial"/>
        </w:rPr>
        <w:t>Checklist for submitting comments</w:t>
      </w:r>
    </w:p>
    <w:p w:rsidRPr="005F370B" w:rsidR="00572C22" w:rsidP="00572C22" w:rsidRDefault="00572C22" w14:paraId="76AC4DDC" w14:textId="77777777">
      <w:pPr>
        <w:numPr>
          <w:ilvl w:val="0"/>
          <w:numId w:val="22"/>
        </w:numPr>
        <w:spacing w:line="276" w:lineRule="auto"/>
        <w:rPr>
          <w:rFonts w:ascii="Arial" w:hAnsi="Arial" w:cs="Arial"/>
        </w:rPr>
      </w:pPr>
      <w:r w:rsidRPr="005F370B">
        <w:rPr>
          <w:rFonts w:ascii="Arial" w:hAnsi="Arial" w:cs="Arial"/>
        </w:rPr>
        <w:t>Use this form and submit it as a Word document (not a PDF).</w:t>
      </w:r>
    </w:p>
    <w:p w:rsidRPr="005F370B" w:rsidR="00572C22" w:rsidP="00572C22" w:rsidRDefault="00572C22" w14:paraId="4B33E5A9" w14:textId="77777777">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rsidRPr="005F370B" w:rsidR="00572C22" w:rsidP="00572C22" w:rsidRDefault="00572C22" w14:paraId="20FE5E3C" w14:textId="77777777">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rsidRPr="005F370B" w:rsidR="00572C22" w:rsidP="00572C22" w:rsidRDefault="00572C22" w14:paraId="5971F578" w14:textId="77777777">
      <w:pPr>
        <w:numPr>
          <w:ilvl w:val="0"/>
          <w:numId w:val="22"/>
        </w:numPr>
        <w:spacing w:line="276" w:lineRule="auto"/>
        <w:rPr>
          <w:rFonts w:ascii="Arial" w:hAnsi="Arial" w:cs="Arial"/>
        </w:rPr>
      </w:pPr>
      <w:r w:rsidRPr="005F370B">
        <w:rPr>
          <w:rFonts w:ascii="Arial" w:hAnsi="Arial" w:cs="Arial"/>
        </w:rPr>
        <w:lastRenderedPageBreak/>
        <w:t>Do not paste other tables into this table – type directly into the table.</w:t>
      </w:r>
    </w:p>
    <w:p w:rsidRPr="00100812" w:rsidR="00153F0E" w:rsidP="00153F0E" w:rsidRDefault="00153F0E" w14:paraId="7E66A93C" w14:textId="77777777">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rsidRPr="005F370B" w:rsidR="00572C22" w:rsidP="00572C22" w:rsidRDefault="00572C22" w14:paraId="3037F2C6" w14:textId="77777777">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rsidRPr="005F370B" w:rsidR="00572C22" w:rsidP="00572C22" w:rsidRDefault="00572C22" w14:paraId="6D6961AE" w14:textId="77777777">
      <w:pPr>
        <w:numPr>
          <w:ilvl w:val="0"/>
          <w:numId w:val="22"/>
        </w:numPr>
        <w:spacing w:line="276" w:lineRule="auto"/>
        <w:rPr>
          <w:rFonts w:ascii="Arial" w:hAnsi="Arial" w:cs="Arial"/>
        </w:rPr>
      </w:pPr>
      <w:r w:rsidRPr="005F370B">
        <w:rPr>
          <w:rFonts w:ascii="Arial" w:hAnsi="Arial" w:cs="Arial"/>
        </w:rPr>
        <w:t>Spell out any abbreviations you use</w:t>
      </w:r>
    </w:p>
    <w:p w:rsidRPr="005F370B" w:rsidR="00572C22" w:rsidP="00572C22" w:rsidRDefault="00572C22" w14:paraId="30F25BD0" w14:textId="77777777">
      <w:pPr>
        <w:pStyle w:val="Paragraphnonumbers"/>
        <w:rPr>
          <w:rFonts w:cs="Arial"/>
        </w:rPr>
      </w:pPr>
    </w:p>
    <w:p w:rsidRPr="005F370B" w:rsidR="00572C22" w:rsidP="00572C22" w:rsidRDefault="00572C22" w14:paraId="5CB90244" w14:textId="0B0A987F">
      <w:pPr>
        <w:pStyle w:val="Paragraphnonumbers"/>
        <w:rPr>
          <w:rFonts w:cs="Arial"/>
        </w:rPr>
      </w:pPr>
      <w:r w:rsidRPr="005F370B">
        <w:rPr>
          <w:rFonts w:cs="Arial"/>
        </w:rPr>
        <w:t xml:space="preserve">Please return to </w:t>
      </w:r>
      <w:hyperlink w:history="1" r:id="rId14">
        <w:r w:rsidR="00992678">
          <w:rPr>
            <w:rStyle w:val="Hyperlink"/>
            <w:rFonts w:cs="Arial"/>
          </w:rPr>
          <w:t>QualityStandards@nice.org.uk</w:t>
        </w:r>
      </w:hyperlink>
      <w:r w:rsidR="00DB0B16">
        <w:rPr>
          <w:rFonts w:cs="Arial"/>
        </w:rPr>
        <w:t xml:space="preserve"> </w:t>
      </w:r>
    </w:p>
    <w:p w:rsidRPr="005F370B" w:rsidR="00572C22" w:rsidP="00572C22" w:rsidRDefault="00572C22" w14:paraId="4098E463" w14:textId="77777777">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Pr="005F370B" w:rsidR="00572C22" w:rsidP="00572C22" w:rsidRDefault="00572C22" w14:paraId="447E8334" w14:textId="77777777">
      <w:pPr>
        <w:rPr>
          <w:rFonts w:ascii="Arial" w:hAnsi="Arial" w:cs="Arial"/>
          <w:iCs/>
          <w:sz w:val="20"/>
        </w:rPr>
      </w:pPr>
    </w:p>
    <w:p w:rsidRPr="005F370B" w:rsidR="00572C22" w:rsidP="00572C22" w:rsidRDefault="00572C22" w14:paraId="447C488B" w14:textId="77777777">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rsidRPr="00181A4A" w:rsidR="00443081" w:rsidP="00181A4A" w:rsidRDefault="00443081" w14:paraId="6EF7D07D" w14:textId="77777777">
      <w:pPr>
        <w:pStyle w:val="Title"/>
      </w:pPr>
    </w:p>
    <w:sectPr w:rsidRPr="00181A4A" w:rsidR="00443081" w:rsidSect="0049596F">
      <w:footerReference w:type="default" r:id="rId1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C22" w:rsidP="00446BEE" w:rsidRDefault="00572C22" w14:paraId="50AAC3DB" w14:textId="77777777">
      <w:r>
        <w:separator/>
      </w:r>
    </w:p>
  </w:endnote>
  <w:endnote w:type="continuationSeparator" w:id="0">
    <w:p w:rsidR="00572C22" w:rsidP="00446BEE" w:rsidRDefault="00572C22" w14:paraId="2644DE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BEE" w:rsidRDefault="00446BEE" w14:paraId="0E41A82F" w14:textId="06C51C25">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C22" w:rsidP="00446BEE" w:rsidRDefault="00572C22" w14:paraId="55CD4970" w14:textId="77777777">
      <w:r>
        <w:separator/>
      </w:r>
    </w:p>
  </w:footnote>
  <w:footnote w:type="continuationSeparator" w:id="0">
    <w:p w:rsidR="00572C22" w:rsidP="00446BEE" w:rsidRDefault="00572C22" w14:paraId="4326081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e9a3d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89511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hint="default" w:ascii="Symbol" w:hAnsi="Symbol"/>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hint="default" w:ascii="Symbol" w:hAnsi="Symbol"/>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hint="default" w:ascii="Symbol" w:hAnsi="Symbol"/>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hint="default" w:ascii="Symbol" w:hAnsi="Symbol"/>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hint="default" w:ascii="Symbol" w:hAnsi="Symbol"/>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FB50091"/>
    <w:multiLevelType w:val="hybridMultilevel"/>
    <w:tmpl w:val="DB3C2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0F817DA"/>
    <w:multiLevelType w:val="hybridMultilevel"/>
    <w:tmpl w:val="130AC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28">
    <w:abstractNumId w:val="20"/>
  </w:num>
  <w:num w:numId="27">
    <w:abstractNumId w:val="19"/>
  </w:num>
  <w:num w:numId="1" w16cid:durableId="2126655527">
    <w:abstractNumId w:val="16"/>
  </w:num>
  <w:num w:numId="2" w16cid:durableId="622537745">
    <w:abstractNumId w:val="17"/>
  </w:num>
  <w:num w:numId="3" w16cid:durableId="276379692">
    <w:abstractNumId w:val="17"/>
    <w:lvlOverride w:ilvl="0">
      <w:startOverride w:val="1"/>
    </w:lvlOverride>
  </w:num>
  <w:num w:numId="4" w16cid:durableId="1167673507">
    <w:abstractNumId w:val="17"/>
    <w:lvlOverride w:ilvl="0">
      <w:startOverride w:val="1"/>
    </w:lvlOverride>
  </w:num>
  <w:num w:numId="5" w16cid:durableId="710039421">
    <w:abstractNumId w:val="17"/>
    <w:lvlOverride w:ilvl="0">
      <w:startOverride w:val="1"/>
    </w:lvlOverride>
  </w:num>
  <w:num w:numId="6" w16cid:durableId="339086628">
    <w:abstractNumId w:val="17"/>
    <w:lvlOverride w:ilvl="0">
      <w:startOverride w:val="1"/>
    </w:lvlOverride>
  </w:num>
  <w:num w:numId="7" w16cid:durableId="1851798116">
    <w:abstractNumId w:val="17"/>
    <w:lvlOverride w:ilvl="0">
      <w:startOverride w:val="1"/>
    </w:lvlOverride>
  </w:num>
  <w:num w:numId="8" w16cid:durableId="1627851917">
    <w:abstractNumId w:val="9"/>
  </w:num>
  <w:num w:numId="9" w16cid:durableId="870340434">
    <w:abstractNumId w:val="7"/>
  </w:num>
  <w:num w:numId="10" w16cid:durableId="1371228442">
    <w:abstractNumId w:val="6"/>
  </w:num>
  <w:num w:numId="11" w16cid:durableId="1298142998">
    <w:abstractNumId w:val="5"/>
  </w:num>
  <w:num w:numId="12" w16cid:durableId="45567137">
    <w:abstractNumId w:val="4"/>
  </w:num>
  <w:num w:numId="13" w16cid:durableId="1100760975">
    <w:abstractNumId w:val="8"/>
  </w:num>
  <w:num w:numId="14" w16cid:durableId="884409797">
    <w:abstractNumId w:val="3"/>
  </w:num>
  <w:num w:numId="15" w16cid:durableId="1332441639">
    <w:abstractNumId w:val="2"/>
  </w:num>
  <w:num w:numId="16" w16cid:durableId="1710837984">
    <w:abstractNumId w:val="1"/>
  </w:num>
  <w:num w:numId="17" w16cid:durableId="1620183515">
    <w:abstractNumId w:val="0"/>
  </w:num>
  <w:num w:numId="18" w16cid:durableId="806825308">
    <w:abstractNumId w:val="13"/>
  </w:num>
  <w:num w:numId="19" w16cid:durableId="1368411612">
    <w:abstractNumId w:val="13"/>
    <w:lvlOverride w:ilvl="0">
      <w:startOverride w:val="1"/>
    </w:lvlOverride>
  </w:num>
  <w:num w:numId="20" w16cid:durableId="1131283782">
    <w:abstractNumId w:val="11"/>
  </w:num>
  <w:num w:numId="21" w16cid:durableId="1184131944">
    <w:abstractNumId w:val="15"/>
  </w:num>
  <w:num w:numId="22" w16cid:durableId="1512798570">
    <w:abstractNumId w:val="10"/>
  </w:num>
  <w:num w:numId="23" w16cid:durableId="666664858">
    <w:abstractNumId w:val="15"/>
    <w:lvlOverride w:ilvl="0">
      <w:startOverride w:val="1"/>
    </w:lvlOverride>
    <w:lvlOverride w:ilvl="1"/>
    <w:lvlOverride w:ilvl="2"/>
    <w:lvlOverride w:ilvl="3"/>
    <w:lvlOverride w:ilvl="4"/>
    <w:lvlOverride w:ilvl="5"/>
    <w:lvlOverride w:ilvl="6"/>
    <w:lvlOverride w:ilvl="7"/>
    <w:lvlOverride w:ilvl="8"/>
  </w:num>
  <w:num w:numId="24" w16cid:durableId="1416320882">
    <w:abstractNumId w:val="12"/>
  </w:num>
  <w:num w:numId="25" w16cid:durableId="128520476">
    <w:abstractNumId w:val="18"/>
  </w:num>
  <w:num w:numId="26" w16cid:durableId="20063925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dirty"/>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3430"/>
    <w:rsid w:val="000053F8"/>
    <w:rsid w:val="00012E53"/>
    <w:rsid w:val="00013CE5"/>
    <w:rsid w:val="00024D0A"/>
    <w:rsid w:val="00046857"/>
    <w:rsid w:val="000472DC"/>
    <w:rsid w:val="00061780"/>
    <w:rsid w:val="00070065"/>
    <w:rsid w:val="00087130"/>
    <w:rsid w:val="00091950"/>
    <w:rsid w:val="00095246"/>
    <w:rsid w:val="000A4FEE"/>
    <w:rsid w:val="000B5939"/>
    <w:rsid w:val="000C2A2B"/>
    <w:rsid w:val="000D3A46"/>
    <w:rsid w:val="000F3E32"/>
    <w:rsid w:val="00111CCE"/>
    <w:rsid w:val="001134E7"/>
    <w:rsid w:val="0011691E"/>
    <w:rsid w:val="00125F4F"/>
    <w:rsid w:val="00151E0C"/>
    <w:rsid w:val="00151EE7"/>
    <w:rsid w:val="00153F0E"/>
    <w:rsid w:val="0017149E"/>
    <w:rsid w:val="0017169E"/>
    <w:rsid w:val="00181A4A"/>
    <w:rsid w:val="001A28D7"/>
    <w:rsid w:val="001A646E"/>
    <w:rsid w:val="001B0EE9"/>
    <w:rsid w:val="001B65B3"/>
    <w:rsid w:val="001C75A5"/>
    <w:rsid w:val="001E208F"/>
    <w:rsid w:val="002029A6"/>
    <w:rsid w:val="00231D5D"/>
    <w:rsid w:val="002339A7"/>
    <w:rsid w:val="002408EA"/>
    <w:rsid w:val="00245D41"/>
    <w:rsid w:val="002661EA"/>
    <w:rsid w:val="002804AB"/>
    <w:rsid w:val="002819D7"/>
    <w:rsid w:val="002960F4"/>
    <w:rsid w:val="002A0662"/>
    <w:rsid w:val="002C10C3"/>
    <w:rsid w:val="002C1A7E"/>
    <w:rsid w:val="002D3376"/>
    <w:rsid w:val="002E4B81"/>
    <w:rsid w:val="00311ED0"/>
    <w:rsid w:val="003400AD"/>
    <w:rsid w:val="003648C5"/>
    <w:rsid w:val="00364D73"/>
    <w:rsid w:val="003722FA"/>
    <w:rsid w:val="00377FAC"/>
    <w:rsid w:val="003833D1"/>
    <w:rsid w:val="00397A34"/>
    <w:rsid w:val="003A4193"/>
    <w:rsid w:val="003C7AAF"/>
    <w:rsid w:val="003F1680"/>
    <w:rsid w:val="003F7C67"/>
    <w:rsid w:val="004075B6"/>
    <w:rsid w:val="00420952"/>
    <w:rsid w:val="004213AF"/>
    <w:rsid w:val="0042313D"/>
    <w:rsid w:val="00433EFF"/>
    <w:rsid w:val="00440828"/>
    <w:rsid w:val="00443081"/>
    <w:rsid w:val="00446BEE"/>
    <w:rsid w:val="0049596F"/>
    <w:rsid w:val="004B4191"/>
    <w:rsid w:val="004F21A9"/>
    <w:rsid w:val="005025A1"/>
    <w:rsid w:val="00504690"/>
    <w:rsid w:val="005269AE"/>
    <w:rsid w:val="00554E6A"/>
    <w:rsid w:val="00572C22"/>
    <w:rsid w:val="0058027B"/>
    <w:rsid w:val="005B5122"/>
    <w:rsid w:val="005E49AB"/>
    <w:rsid w:val="00633706"/>
    <w:rsid w:val="00654054"/>
    <w:rsid w:val="006558D2"/>
    <w:rsid w:val="00671954"/>
    <w:rsid w:val="006921E1"/>
    <w:rsid w:val="0069590C"/>
    <w:rsid w:val="006B2A6A"/>
    <w:rsid w:val="006C64A2"/>
    <w:rsid w:val="006E3610"/>
    <w:rsid w:val="006E4E43"/>
    <w:rsid w:val="006F4B25"/>
    <w:rsid w:val="006F6496"/>
    <w:rsid w:val="00736348"/>
    <w:rsid w:val="00760908"/>
    <w:rsid w:val="00770CD5"/>
    <w:rsid w:val="00777B62"/>
    <w:rsid w:val="007C3F1A"/>
    <w:rsid w:val="007F238D"/>
    <w:rsid w:val="007F4538"/>
    <w:rsid w:val="00842441"/>
    <w:rsid w:val="00843909"/>
    <w:rsid w:val="0085360C"/>
    <w:rsid w:val="00861B92"/>
    <w:rsid w:val="0087633D"/>
    <w:rsid w:val="008814FB"/>
    <w:rsid w:val="008B4D06"/>
    <w:rsid w:val="008B5163"/>
    <w:rsid w:val="008B54C6"/>
    <w:rsid w:val="008E30B2"/>
    <w:rsid w:val="008F5E30"/>
    <w:rsid w:val="00911F8A"/>
    <w:rsid w:val="009130C7"/>
    <w:rsid w:val="00914D7F"/>
    <w:rsid w:val="00973221"/>
    <w:rsid w:val="00992678"/>
    <w:rsid w:val="009942A9"/>
    <w:rsid w:val="009A65B5"/>
    <w:rsid w:val="009B03FA"/>
    <w:rsid w:val="009C70C9"/>
    <w:rsid w:val="009E680B"/>
    <w:rsid w:val="009F0D22"/>
    <w:rsid w:val="00A02489"/>
    <w:rsid w:val="00A15A1F"/>
    <w:rsid w:val="00A272FC"/>
    <w:rsid w:val="00A3325A"/>
    <w:rsid w:val="00A34C7A"/>
    <w:rsid w:val="00A43013"/>
    <w:rsid w:val="00A447DC"/>
    <w:rsid w:val="00A45DFF"/>
    <w:rsid w:val="00A51BD7"/>
    <w:rsid w:val="00A60738"/>
    <w:rsid w:val="00A66E6B"/>
    <w:rsid w:val="00AB665C"/>
    <w:rsid w:val="00AE5849"/>
    <w:rsid w:val="00AF108A"/>
    <w:rsid w:val="00B02E55"/>
    <w:rsid w:val="00B036C1"/>
    <w:rsid w:val="00B24A3B"/>
    <w:rsid w:val="00B47632"/>
    <w:rsid w:val="00B5431F"/>
    <w:rsid w:val="00B719FE"/>
    <w:rsid w:val="00B81C00"/>
    <w:rsid w:val="00B943F6"/>
    <w:rsid w:val="00BA6018"/>
    <w:rsid w:val="00BD6354"/>
    <w:rsid w:val="00BF7FE0"/>
    <w:rsid w:val="00C35201"/>
    <w:rsid w:val="00C52D9C"/>
    <w:rsid w:val="00C81104"/>
    <w:rsid w:val="00C96411"/>
    <w:rsid w:val="00CA5CBA"/>
    <w:rsid w:val="00CA64A6"/>
    <w:rsid w:val="00CB5671"/>
    <w:rsid w:val="00CC0C4C"/>
    <w:rsid w:val="00CC4E2A"/>
    <w:rsid w:val="00CD23CF"/>
    <w:rsid w:val="00CF58B7"/>
    <w:rsid w:val="00D351C1"/>
    <w:rsid w:val="00D35EFB"/>
    <w:rsid w:val="00D42483"/>
    <w:rsid w:val="00D504B3"/>
    <w:rsid w:val="00D624D4"/>
    <w:rsid w:val="00D668AD"/>
    <w:rsid w:val="00D86BF0"/>
    <w:rsid w:val="00DA5ECB"/>
    <w:rsid w:val="00DA6F75"/>
    <w:rsid w:val="00DB0B16"/>
    <w:rsid w:val="00DF5709"/>
    <w:rsid w:val="00E0338D"/>
    <w:rsid w:val="00E07D45"/>
    <w:rsid w:val="00E15409"/>
    <w:rsid w:val="00E51920"/>
    <w:rsid w:val="00E64120"/>
    <w:rsid w:val="00E660A1"/>
    <w:rsid w:val="00E7656C"/>
    <w:rsid w:val="00E84E14"/>
    <w:rsid w:val="00EA3CCF"/>
    <w:rsid w:val="00EB5CCC"/>
    <w:rsid w:val="00EE0C84"/>
    <w:rsid w:val="00F055F1"/>
    <w:rsid w:val="00F16829"/>
    <w:rsid w:val="00F610AF"/>
    <w:rsid w:val="00F876C3"/>
    <w:rsid w:val="00FA2C5A"/>
    <w:rsid w:val="00FB061D"/>
    <w:rsid w:val="00FC2D11"/>
    <w:rsid w:val="00FC6230"/>
    <w:rsid w:val="00FF53DF"/>
    <w:rsid w:val="00FF61E7"/>
    <w:rsid w:val="01A98759"/>
    <w:rsid w:val="090B4EB0"/>
    <w:rsid w:val="09427C4A"/>
    <w:rsid w:val="0ABEF485"/>
    <w:rsid w:val="0CC07419"/>
    <w:rsid w:val="0D0A94F6"/>
    <w:rsid w:val="0D584D51"/>
    <w:rsid w:val="13929908"/>
    <w:rsid w:val="13A74D6B"/>
    <w:rsid w:val="153C4A41"/>
    <w:rsid w:val="18BE76D4"/>
    <w:rsid w:val="1BB78DC5"/>
    <w:rsid w:val="1C9FB49D"/>
    <w:rsid w:val="1D449BA9"/>
    <w:rsid w:val="1DA8FFBD"/>
    <w:rsid w:val="1FF08F3F"/>
    <w:rsid w:val="255CDA45"/>
    <w:rsid w:val="291832A8"/>
    <w:rsid w:val="29A16657"/>
    <w:rsid w:val="2A97CA40"/>
    <w:rsid w:val="2B325B7D"/>
    <w:rsid w:val="2BBCDF2D"/>
    <w:rsid w:val="2D171619"/>
    <w:rsid w:val="2FA2517A"/>
    <w:rsid w:val="2FBB6D38"/>
    <w:rsid w:val="30A4BF8E"/>
    <w:rsid w:val="39404E35"/>
    <w:rsid w:val="406F7EDC"/>
    <w:rsid w:val="42403B25"/>
    <w:rsid w:val="4D2ED5E6"/>
    <w:rsid w:val="4DA5F0DA"/>
    <w:rsid w:val="50D80C94"/>
    <w:rsid w:val="525081BA"/>
    <w:rsid w:val="526D5307"/>
    <w:rsid w:val="5273DCF5"/>
    <w:rsid w:val="5356F10F"/>
    <w:rsid w:val="53AC0B89"/>
    <w:rsid w:val="53CB2515"/>
    <w:rsid w:val="54D739D1"/>
    <w:rsid w:val="55195B77"/>
    <w:rsid w:val="5BF51B8D"/>
    <w:rsid w:val="5D98EADB"/>
    <w:rsid w:val="5F072CC4"/>
    <w:rsid w:val="61A12A60"/>
    <w:rsid w:val="62825C32"/>
    <w:rsid w:val="634D956F"/>
    <w:rsid w:val="6768DAFD"/>
    <w:rsid w:val="6851E4BC"/>
    <w:rsid w:val="6AD5AD07"/>
    <w:rsid w:val="6E68B55C"/>
    <w:rsid w:val="6F61AF1C"/>
    <w:rsid w:val="6FB70C63"/>
    <w:rsid w:val="715DC2C1"/>
    <w:rsid w:val="7298D7F1"/>
    <w:rsid w:val="75F8E4E4"/>
    <w:rsid w:val="763EF2F2"/>
    <w:rsid w:val="79821A59"/>
    <w:rsid w:val="7A52166A"/>
    <w:rsid w:val="7C85F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styleId="TitleChar" w:customStyle="1">
    <w:name w:val="Title Char"/>
    <w:link w:val="Title"/>
    <w:rsid w:val="00CB5671"/>
    <w:rPr>
      <w:rFonts w:ascii="Arial" w:hAnsi="Arial"/>
      <w:b/>
      <w:bCs/>
      <w:kern w:val="28"/>
      <w:sz w:val="32"/>
      <w:szCs w:val="32"/>
    </w:rPr>
  </w:style>
  <w:style w:type="character" w:styleId="Heading1Char" w:customStyle="1">
    <w:name w:val="Heading 1 Char"/>
    <w:link w:val="Heading1"/>
    <w:rsid w:val="00CB5671"/>
    <w:rPr>
      <w:rFonts w:ascii="Arial" w:hAnsi="Arial"/>
      <w:b/>
      <w:bCs/>
      <w:kern w:val="32"/>
      <w:sz w:val="28"/>
      <w:szCs w:val="32"/>
    </w:rPr>
  </w:style>
  <w:style w:type="paragraph" w:styleId="Bullets" w:customStyle="1">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styleId="HeaderChar" w:customStyle="1">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styleId="FooterChar" w:customStyle="1">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styleId="BalloonTextChar" w:customStyle="1">
    <w:name w:val="Balloon Text Char"/>
    <w:link w:val="BalloonText"/>
    <w:semiHidden/>
    <w:rsid w:val="00446BEE"/>
    <w:rPr>
      <w:rFonts w:ascii="Tahoma" w:hAnsi="Tahoma" w:cs="Tahoma"/>
      <w:sz w:val="16"/>
      <w:szCs w:val="16"/>
    </w:rPr>
  </w:style>
  <w:style w:type="character" w:styleId="Heading2Char" w:customStyle="1">
    <w:name w:val="Heading 2 Char"/>
    <w:link w:val="Heading2"/>
    <w:uiPriority w:val="2"/>
    <w:rsid w:val="00CB5671"/>
    <w:rPr>
      <w:rFonts w:ascii="Arial" w:hAnsi="Arial"/>
      <w:b/>
      <w:bCs/>
      <w:i/>
      <w:iCs/>
      <w:sz w:val="26"/>
      <w:szCs w:val="26"/>
    </w:rPr>
  </w:style>
  <w:style w:type="character" w:styleId="Heading3Char" w:customStyle="1">
    <w:name w:val="Heading 3 Char"/>
    <w:link w:val="Heading3"/>
    <w:uiPriority w:val="3"/>
    <w:rsid w:val="00CB5671"/>
    <w:rPr>
      <w:rFonts w:ascii="Arial" w:hAnsi="Arial"/>
      <w:b/>
      <w:bCs/>
      <w:sz w:val="24"/>
      <w:szCs w:val="26"/>
    </w:rPr>
  </w:style>
  <w:style w:type="paragraph" w:styleId="Subbullets" w:customStyle="1">
    <w:name w:val="Sub bullets"/>
    <w:basedOn w:val="Normal"/>
    <w:uiPriority w:val="6"/>
    <w:qFormat/>
    <w:rsid w:val="00CB5671"/>
    <w:pPr>
      <w:numPr>
        <w:numId w:val="18"/>
      </w:numPr>
      <w:spacing w:after="120" w:line="276" w:lineRule="auto"/>
      <w:ind w:left="1418" w:hanging="284"/>
    </w:pPr>
    <w:rPr>
      <w:rFonts w:ascii="Arial" w:hAnsi="Arial"/>
    </w:rPr>
  </w:style>
  <w:style w:type="paragraph" w:styleId="Paragraphnonumbers" w:customStyle="1">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styleId="CommentTextChar" w:customStyle="1">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styleId="TableText1" w:customStyle="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styleId="BodyTextChar" w:customStyle="1">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styleId="CommentSubjectChar" w:customStyle="1">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 w:type="character" w:styleId="FollowedHyperlink">
    <w:name w:val="FollowedHyperlink"/>
    <w:basedOn w:val="DefaultParagraphFont"/>
    <w:semiHidden/>
    <w:unhideWhenUsed/>
    <w:rsid w:val="00E033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ice.org.uk/standards-and-indicators/get-involved/support-a-quality-standard"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mailto:QualityStandards@nice.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QualityStandards@nice.org.uk" TargetMode="External" Id="rId14" /><Relationship Type="http://schemas.openxmlformats.org/officeDocument/2006/relationships/hyperlink" Target="https://assets.publishing.service.gov.uk/media/5a80b62d40f0b62302695133/4b_Health_Literacy-Briefing.pdf" TargetMode="External" Id="R88db02881b6f41bc" /><Relationship Type="http://schemas.openxmlformats.org/officeDocument/2006/relationships/hyperlink" Target="https://www.gypsy-traveller.org/wp-content/uploads/2022/11/Briefing_Health-inequalities-experienced-by-Gypsies-and-Travellers-in-England.pdf" TargetMode="External" Id="R9ab10a9c6e724d26" /><Relationship Type="http://schemas.openxmlformats.org/officeDocument/2006/relationships/hyperlink" Target="https://www.emjreviews.com/flagship-journal/congress-review/seeing-is-believing-invisibility-exacerbates-inequality-for-patients-living-with-rare-disease-j190322/" TargetMode="External" Id="R838f233b0e754286" /><Relationship Type="http://schemas.openxmlformats.org/officeDocument/2006/relationships/hyperlink" Target="https://shca.info/shca-publishes-a-new-report-on-rare-disease-health-inequalities/" TargetMode="External" Id="Rfa8d0b1a47ee4a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143d17-ecb7-4b9c-bd92-b87463ab2cfb" xsi:nil="true"/>
    <lcf76f155ced4ddcb4097134ff3c332f xmlns="d3106e0d-2c96-4344-b832-a7ddc045d5c6">
      <Terms xmlns="http://schemas.microsoft.com/office/infopath/2007/PartnerControls"/>
    </lcf76f155ced4ddcb4097134ff3c332f>
    <Date xmlns="d3106e0d-2c96-4344-b832-a7ddc045d5c6" xsi:nil="true"/>
    <Dateandtime xmlns="d3106e0d-2c96-4344-b832-a7ddc045d5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40F8EE177934428CEA035B8A294D62" ma:contentTypeVersion="20" ma:contentTypeDescription="Create a new document." ma:contentTypeScope="" ma:versionID="2da7d8b6a8f045d6f669ddf642ab2141">
  <xsd:schema xmlns:xsd="http://www.w3.org/2001/XMLSchema" xmlns:xs="http://www.w3.org/2001/XMLSchema" xmlns:p="http://schemas.microsoft.com/office/2006/metadata/properties" xmlns:ns2="d3106e0d-2c96-4344-b832-a7ddc045d5c6" xmlns:ns3="e8143d17-ecb7-4b9c-bd92-b87463ab2cfb" targetNamespace="http://schemas.microsoft.com/office/2006/metadata/properties" ma:root="true" ma:fieldsID="72144351a9ea9713e6d792c46337a354" ns2:_="" ns3:_="">
    <xsd:import namespace="d3106e0d-2c96-4344-b832-a7ddc045d5c6"/>
    <xsd:import namespace="e8143d17-ecb7-4b9c-bd92-b87463ab2c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Date"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06e0d-2c96-4344-b832-a7ddc045d5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Date" ma:index="14" nillable="true" ma:displayName="Date" ma:format="DateOnly" ma:internalName="Date">
      <xsd:simpleType>
        <xsd:restriction base="dms:DateTime"/>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70490d9-a861-4094-bed0-7da4cf089573" ma:termSetId="09814cd3-568e-fe90-9814-8d621ff8fb84" ma:anchorId="fba54fb3-c3e1-fe81-a776-ca4b69148c4d" ma:open="true" ma:isKeyword="false">
      <xsd:complexType>
        <xsd:sequence>
          <xsd:element ref="pc:Terms" minOccurs="0" maxOccurs="1"/>
        </xsd:sequence>
      </xsd:complexType>
    </xsd:element>
    <xsd:element name="Dateandtime" ma:index="25" nillable="true" ma:displayName="Date and time" ma:format="DateOnly" ma:internalName="Dateandtim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43d17-ecb7-4b9c-bd92-b87463ab2cf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2e97df73-a335-436a-859a-0e68cfe23817}" ma:internalName="TaxCatchAll" ma:showField="CatchAllData" ma:web="e8143d17-ecb7-4b9c-bd92-b87463ab2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5FA76-BFF8-4174-98A1-DCE59E1BDD5F}">
  <ds:schemaRefs>
    <ds:schemaRef ds:uri="http://schemas.microsoft.com/office/2006/metadata/properties"/>
    <ds:schemaRef ds:uri="http://schemas.microsoft.com/office/infopath/2007/PartnerControls"/>
    <ds:schemaRef ds:uri="e8143d17-ecb7-4b9c-bd92-b87463ab2cfb"/>
    <ds:schemaRef ds:uri="d3106e0d-2c96-4344-b832-a7ddc045d5c6"/>
  </ds:schemaRefs>
</ds:datastoreItem>
</file>

<file path=customXml/itemProps2.xml><?xml version="1.0" encoding="utf-8"?>
<ds:datastoreItem xmlns:ds="http://schemas.openxmlformats.org/officeDocument/2006/customXml" ds:itemID="{1893811F-1B7C-42F0-A9C0-74169CE11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06e0d-2c96-4344-b832-a7ddc045d5c6"/>
    <ds:schemaRef ds:uri="e8143d17-ecb7-4b9c-bd92-b87463ab2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9B10E-606F-4703-9E91-D070B610348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Matt Handcock</cp:lastModifiedBy>
  <cp:revision>36</cp:revision>
  <dcterms:created xsi:type="dcterms:W3CDTF">2026-01-16T09:56:00Z</dcterms:created>
  <dcterms:modified xsi:type="dcterms:W3CDTF">2026-01-20T09:54:27Z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0x010100D540F8EE177934428CEA035B8A294D62</vt:lpwstr>
  </property>
  <property fmtid="{D5CDD505-2E9C-101B-9397-08002B2CF9AE}" pid="3" name="MSIP_Label_c69d85d5-6d9e-4305-a294-1f636ec0f2d6_Enabled">
    <vt:lpwstr>true</vt:lpwstr>
  </property>
  <property fmtid="{D5CDD505-2E9C-101B-9397-08002B2CF9AE}" pid="4" name="MSIP_Label_c69d85d5-6d9e-4305-a294-1f636ec0f2d6_SetDate">
    <vt:lpwstr>2023-09-05T12:53:14Z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ec0f6bb1-ea88-41b1-a0ba-9c7eb545872c</vt:lpwstr>
  </property>
  <property fmtid="{D5CDD505-2E9C-101B-9397-08002B2CF9AE}" pid="9" name="MSIP_Label_c69d85d5-6d9e-4305-a294-1f636ec0f2d6_ContentBits">
    <vt:lpwstr>0</vt:lpwstr>
  </property>
  <property fmtid="{D5CDD505-2E9C-101B-9397-08002B2CF9AE}" pid="10" name="MediaServiceImageTags">
    <vt:lpwstr/>
  </property>
  <property fmtid="{D5CDD505-2E9C-101B-9397-08002B2CF9AE}" pid="11" name="GrammarlyDocumentId">
    <vt:lpwstr>f93bd962-4835-4204-bdb4-9bebc2aa729e</vt:lpwstr>
  </property>
</Properties>
</file>